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720" w:firstLineChars="200"/>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ind w:firstLine="720" w:firstLineChars="200"/>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方正小标宋简体" w:cs="Times New Roman"/>
          <w:color w:val="000000" w:themeColor="text1"/>
          <w:kern w:val="2"/>
          <w:sz w:val="36"/>
          <w:szCs w:val="36"/>
          <w:lang w:eastAsia="zh-CN"/>
          <w14:textFill>
            <w14:solidFill>
              <w14:schemeClr w14:val="tx1"/>
            </w14:solidFill>
          </w14:textFill>
        </w:rPr>
      </w:pPr>
      <w:r>
        <w:rPr>
          <w:rFonts w:hint="default" w:ascii="Times New Roman" w:hAnsi="Times New Roman" w:eastAsia="方正小标宋简体" w:cs="Times New Roman"/>
          <w:color w:val="000000" w:themeColor="text1"/>
          <w:kern w:val="2"/>
          <w:sz w:val="36"/>
          <w:szCs w:val="36"/>
          <w:lang w:eastAsia="zh-CN"/>
          <w14:textFill>
            <w14:solidFill>
              <w14:schemeClr w14:val="tx1"/>
            </w14:solidFill>
          </w14:textFill>
        </w:rPr>
        <w:t>《三亚市绿色建筑发展专项规划》（2024~2028</w:t>
      </w:r>
      <w:r>
        <w:rPr>
          <w:rFonts w:hint="eastAsia" w:ascii="Times New Roman" w:hAnsi="Times New Roman" w:eastAsia="方正小标宋简体" w:cs="Times New Roman"/>
          <w:color w:val="000000" w:themeColor="text1"/>
          <w:kern w:val="2"/>
          <w:sz w:val="36"/>
          <w:szCs w:val="36"/>
          <w:lang w:eastAsia="zh-CN"/>
          <w14:textFill>
            <w14:solidFill>
              <w14:schemeClr w14:val="tx1"/>
            </w14:solidFill>
          </w14:textFill>
        </w:rPr>
        <w:t>年</w:t>
      </w:r>
      <w:r>
        <w:rPr>
          <w:rFonts w:hint="default" w:ascii="Times New Roman" w:hAnsi="Times New Roman" w:eastAsia="方正小标宋简体" w:cs="Times New Roman"/>
          <w:color w:val="000000" w:themeColor="text1"/>
          <w:kern w:val="2"/>
          <w:sz w:val="36"/>
          <w:szCs w:val="36"/>
          <w:lang w:eastAsia="zh-CN"/>
          <w14:textFill>
            <w14:solidFill>
              <w14:schemeClr w14:val="tx1"/>
            </w14:solidFill>
          </w14:textFill>
        </w:rPr>
        <w:t>）</w:t>
      </w:r>
    </w:p>
    <w:p>
      <w:pPr>
        <w:widowControl w:val="0"/>
        <w:spacing w:line="560" w:lineRule="exact"/>
        <w:jc w:val="center"/>
        <w:rPr>
          <w:rFonts w:hint="default" w:ascii="Times New Roman" w:hAnsi="Times New Roman" w:eastAsia="仿宋_GB2312" w:cs="Times New Roman"/>
          <w:color w:val="000000" w:themeColor="text1"/>
          <w:kern w:val="2"/>
          <w:sz w:val="36"/>
          <w:szCs w:val="36"/>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6"/>
          <w:szCs w:val="36"/>
          <w:lang w:val="en-US" w:eastAsia="zh-CN"/>
          <w14:textFill>
            <w14:solidFill>
              <w14:schemeClr w14:val="tx1"/>
            </w14:solidFill>
          </w14:textFill>
        </w:rPr>
        <w:t>（征求意见稿）</w:t>
      </w: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bookmarkStart w:id="141" w:name="_GoBack"/>
      <w:bookmarkEnd w:id="141"/>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widowControl w:val="0"/>
        <w:spacing w:line="560" w:lineRule="exact"/>
        <w:jc w:val="cente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pPr>
    </w:p>
    <w:p>
      <w:pPr>
        <w:spacing w:line="560" w:lineRule="exact"/>
        <w:jc w:val="center"/>
        <w:rPr>
          <w:rFonts w:hint="default" w:ascii="Times New Roman" w:hAnsi="Times New Roman" w:eastAsia="仿宋_GB2312" w:cs="Times New Roman"/>
          <w:color w:val="000000" w:themeColor="text1"/>
          <w:sz w:val="30"/>
          <w:szCs w:val="30"/>
          <w:lang w:eastAsia="zh-CN"/>
          <w14:textFill>
            <w14:solidFill>
              <w14:schemeClr w14:val="tx1"/>
            </w14:solidFill>
          </w14:textFill>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20</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25</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年</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9</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月</w:t>
      </w:r>
    </w:p>
    <w:p>
      <w:pP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sectPr>
          <w:headerReference r:id="rId4" w:type="default"/>
          <w:footerReference r:id="rId6" w:type="default"/>
          <w:head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eastAsia="仿宋_GB2312" w:cs="Times New Roman"/>
          <w:color w:val="000000" w:themeColor="text1"/>
          <w:kern w:val="2"/>
          <w:sz w:val="36"/>
          <w:szCs w:val="36"/>
          <w:lang w:eastAsia="zh-CN"/>
          <w14:textFill>
            <w14:solidFill>
              <w14:schemeClr w14:val="tx1"/>
            </w14:solidFill>
          </w14:textFill>
        </w:rPr>
        <w:br w:type="page"/>
      </w:r>
    </w:p>
    <w:sdt>
      <w:sdtPr>
        <w:rPr>
          <w:rFonts w:hint="default" w:ascii="Times New Roman" w:hAnsi="Times New Roman" w:eastAsia="黑体" w:cs="Times New Roman"/>
          <w:color w:val="000000" w:themeColor="text1"/>
          <w:sz w:val="28"/>
          <w:szCs w:val="28"/>
          <w14:textFill>
            <w14:solidFill>
              <w14:schemeClr w14:val="tx1"/>
            </w14:solidFill>
          </w14:textFill>
        </w:rPr>
        <w:id w:val="147469816"/>
      </w:sdtPr>
      <w:sdtEndPr>
        <w:rPr>
          <w:rFonts w:hint="default" w:ascii="Times New Roman" w:hAnsi="Times New Roman" w:eastAsia="黑体" w:cs="Times New Roman"/>
          <w:color w:val="000000" w:themeColor="text1"/>
          <w:sz w:val="21"/>
          <w:szCs w:val="28"/>
          <w14:textFill>
            <w14:solidFill>
              <w14:schemeClr w14:val="tx1"/>
            </w14:solidFill>
          </w14:textFill>
        </w:rPr>
      </w:sdtEndPr>
      <w:sdtContent>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目</w:t>
          </w:r>
          <w:r>
            <w:rPr>
              <w:rFonts w:hint="default" w:ascii="Times New Roman" w:hAnsi="Times New Roman" w:eastAsia="黑体" w:cs="Times New Roman"/>
              <w:color w:val="000000" w:themeColor="text1"/>
              <w:sz w:val="28"/>
              <w:szCs w:val="28"/>
              <w:lang w:eastAsia="zh-CN"/>
              <w14:textFill>
                <w14:solidFill>
                  <w14:schemeClr w14:val="tx1"/>
                </w14:solidFill>
              </w14:textFill>
            </w:rPr>
            <w:t xml:space="preserve">  </w:t>
          </w:r>
          <w:r>
            <w:rPr>
              <w:rFonts w:hint="default" w:ascii="Times New Roman" w:hAnsi="Times New Roman" w:eastAsia="黑体" w:cs="Times New Roman"/>
              <w:color w:val="000000" w:themeColor="text1"/>
              <w:sz w:val="28"/>
              <w:szCs w:val="28"/>
              <w14:textFill>
                <w14:solidFill>
                  <w14:schemeClr w14:val="tx1"/>
                </w14:solidFill>
              </w14:textFill>
            </w:rPr>
            <w:t>录</w:t>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TOC \o "1-3" \h \u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_Toc30706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第一章  规划总则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_Toc30706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_Toc2312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（一）编制目的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_Toc10458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（二）编制原则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_Toc10458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_Toc28577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（三）编制依据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_Toc28577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_Toc13344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（四）规划范围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_Toc13344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_Toc25547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（五）规划期限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_Toc25547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_Toc9756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（六）法律效力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_Toc9756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_Toc4220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（七）其他规定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_Toc4220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_Toc18074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第二章  绿色建筑发展现状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_Toc18074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_Toc26869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（一）规划区基本情况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_Toc26869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_Toc22734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（二）绿色建筑发展情况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_Toc22734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_Toc10278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（三）优势和存在问题的分析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_Toc10278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_Toc30720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第三章  总体思路和发展目标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_Toc30720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_Toc25411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（一）指导思想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_Toc25411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_Toc31688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（二）基本原则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_Toc31688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_Toc11012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（三）发展定位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_Toc11012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_Toc14896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四</w:t>
          </w:r>
          <w:r>
            <w:rPr>
              <w:rFonts w:hint="default" w:ascii="Times New Roman" w:hAnsi="Times New Roman" w:eastAsia="楷体" w:cs="Times New Roman"/>
              <w:sz w:val="28"/>
              <w:szCs w:val="28"/>
              <w:lang w:eastAsia="zh-CN"/>
            </w:rPr>
            <w:t>）规划目标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_Toc14896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_Toc6946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第四章  重点任务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_Toc6946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_Toc23037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（一）提高绿色建筑发展质量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_Toc23037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_Toc22491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（二）推进既有建筑节能改造</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_Toc22491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_Toc13667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（三）稳步推进装配式建筑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_Toc13667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_Toc17427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（四）积极推广可再生能源应用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_Toc17427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_Toc23585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（五）促进建筑领域碳达峰碳中和</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_Toc23585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_Toc22985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第五章  分区规划及指标要求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_Toc22985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_Toc6344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（一）目标管理分区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_Toc6344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3"/>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_Toc31906 </w:instrText>
          </w:r>
          <w:r>
            <w:rPr>
              <w:rFonts w:hint="default" w:ascii="Times New Roman" w:hAnsi="Times New Roman" w:cs="Times New Roman"/>
              <w:sz w:val="28"/>
              <w:szCs w:val="28"/>
            </w:rPr>
            <w:fldChar w:fldCharType="separate"/>
          </w:r>
          <w:r>
            <w:rPr>
              <w:rFonts w:hint="default" w:ascii="Times New Roman" w:hAnsi="Times New Roman" w:eastAsia="楷体" w:cs="Times New Roman"/>
              <w:sz w:val="28"/>
              <w:szCs w:val="28"/>
              <w:lang w:eastAsia="zh-CN"/>
            </w:rPr>
            <w:t>（二）政策单元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_Toc18179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第六章  保障措施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_Toc18179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color w:val="000000" w:themeColor="text1"/>
              <w:sz w:val="28"/>
              <w:szCs w:val="28"/>
              <w14:textFill>
                <w14:solidFill>
                  <w14:schemeClr w14:val="tx1"/>
                </w14:solidFill>
              </w14:textFill>
            </w:rPr>
          </w:pP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_Toc8687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附件</w:t>
          </w:r>
          <w:r>
            <w:rPr>
              <w:rFonts w:hint="default" w:ascii="Times New Roman" w:hAnsi="Times New Roman" w:eastAsia="黑体" w:cs="Times New Roman"/>
              <w:sz w:val="28"/>
              <w:szCs w:val="28"/>
              <w:lang w:val="en-US" w:eastAsia="zh-CN"/>
            </w:rPr>
            <w:t>1</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lang w:val="en-US" w:eastAsia="zh-CN"/>
            </w:rPr>
            <w:t>目标管理分区指标表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_Toc8687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38</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_Toc9981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附件</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lang w:val="en-US" w:eastAsia="zh-CN"/>
            </w:rPr>
            <w:t>政策单元指标表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_Toc9981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_Toc13776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lang w:eastAsia="zh-CN"/>
            </w:rPr>
            <w:t>附件</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lang w:eastAsia="zh-CN"/>
            </w:rPr>
            <w:t>：各政策单元片区规划指标图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_Toc13776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_Toc20755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lang w:eastAsia="zh-CN"/>
            </w:rPr>
            <w:t>吉阳区下洋田片区：460200-01-01</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_Toc20755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_Toc779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lang w:eastAsia="zh-CN"/>
            </w:rPr>
            <w:t>吉阳区南丁南片区：460200-01-02</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_Toc4363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3</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天涯区西瓜芒果单元：460200-03-01</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_Toc4363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_Toc11711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4</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天涯区金鸡岭单元：460200-03-02</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_Toc11711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_Toc11323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5</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天涯区体育公园单元：460200-03-03</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_Toc11323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_Toc30958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6</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天涯区冲会单元：460200-03-04</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_Toc30958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_Toc10386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7</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天涯区红塘湾国际会展单元：460200-03-05</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_Toc10386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_Toc19932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8</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中央商务区凤凰海岸</w:t>
          </w:r>
          <w:r>
            <w:rPr>
              <w:rFonts w:hint="default" w:ascii="Times New Roman" w:hAnsi="Times New Roman" w:eastAsia="仿宋_GB2312" w:cs="Times New Roman"/>
              <w:bCs/>
              <w:sz w:val="28"/>
              <w:szCs w:val="28"/>
              <w:lang w:val="en-US" w:eastAsia="zh-CN"/>
            </w:rPr>
            <w:t>片区</w:t>
          </w:r>
          <w:r>
            <w:rPr>
              <w:rFonts w:hint="default" w:ascii="Times New Roman" w:hAnsi="Times New Roman" w:eastAsia="仿宋_GB2312" w:cs="Times New Roman"/>
              <w:bCs/>
              <w:sz w:val="28"/>
              <w:szCs w:val="28"/>
              <w:lang w:eastAsia="zh-CN"/>
            </w:rPr>
            <w:t>：460200-05-01</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_Toc19932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_Toc8464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eastAsia="zh-CN"/>
            </w:rPr>
            <w:t>9</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中央商务区月川</w:t>
          </w:r>
          <w:r>
            <w:rPr>
              <w:rFonts w:hint="default" w:ascii="Times New Roman" w:hAnsi="Times New Roman" w:eastAsia="仿宋_GB2312" w:cs="Times New Roman"/>
              <w:bCs/>
              <w:sz w:val="28"/>
              <w:szCs w:val="28"/>
              <w:lang w:val="en-US" w:eastAsia="zh-CN"/>
            </w:rPr>
            <w:t>村</w:t>
          </w:r>
          <w:r>
            <w:rPr>
              <w:rFonts w:hint="default" w:ascii="Times New Roman" w:hAnsi="Times New Roman" w:eastAsia="仿宋_GB2312" w:cs="Times New Roman"/>
              <w:bCs/>
              <w:sz w:val="28"/>
              <w:szCs w:val="28"/>
              <w:lang w:eastAsia="zh-CN"/>
            </w:rPr>
            <w:t>单元：460200-05-02</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_Toc8464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_Toc32553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val="en-US" w:eastAsia="zh-CN"/>
            </w:rPr>
            <w:t>10.</w:t>
          </w:r>
          <w:r>
            <w:rPr>
              <w:rFonts w:hint="default" w:ascii="Times New Roman" w:hAnsi="Times New Roman" w:eastAsia="仿宋_GB2312" w:cs="Times New Roman"/>
              <w:bCs/>
              <w:sz w:val="28"/>
              <w:szCs w:val="28"/>
              <w:lang w:eastAsia="zh-CN"/>
            </w:rPr>
            <w:t>中央商务区海罗片区：460200-05-03</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_Toc32553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_Toc15088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val="en-US" w:eastAsia="zh-CN"/>
            </w:rPr>
            <w:t>11.</w:t>
          </w:r>
          <w:r>
            <w:rPr>
              <w:rFonts w:hint="default" w:ascii="Times New Roman" w:hAnsi="Times New Roman" w:eastAsia="仿宋_GB2312" w:cs="Times New Roman"/>
              <w:bCs/>
              <w:sz w:val="28"/>
              <w:szCs w:val="28"/>
              <w:lang w:eastAsia="zh-CN"/>
            </w:rPr>
            <w:t>中央商务区东岸单元：460200-05-04</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_Toc15088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_Toc11741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val="en-US" w:eastAsia="zh-CN"/>
            </w:rPr>
            <w:t>12</w:t>
          </w:r>
          <w:r>
            <w:rPr>
              <w:rFonts w:hint="default" w:ascii="Times New Roman" w:hAnsi="Times New Roman" w:eastAsia="仿宋_GB2312" w:cs="Times New Roman"/>
              <w:bCs/>
              <w:sz w:val="28"/>
              <w:szCs w:val="28"/>
              <w:lang w:eastAsia="zh-CN"/>
            </w:rPr>
            <w:t xml:space="preserve"> </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崖州湾科技城中片区：460200-0</w:t>
          </w: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bCs/>
              <w:sz w:val="28"/>
              <w:szCs w:val="28"/>
              <w:lang w:eastAsia="zh-CN"/>
            </w:rPr>
            <w:t>-01</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_Toc11741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pStyle w:val="7"/>
            <w:keepNext w:val="0"/>
            <w:keepLines w:val="0"/>
            <w:pageBreakBefore w:val="0"/>
            <w:widowControl/>
            <w:tabs>
              <w:tab w:val="right" w:leader="dot" w:pos="8845"/>
            </w:tabs>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sz w:val="28"/>
              <w:szCs w:val="28"/>
            </w:rPr>
            <w:instrText xml:space="preserve"> HYPERLINK \l _Toc10496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lang w:val="en-US" w:eastAsia="zh-CN"/>
            </w:rPr>
            <w:t>13.</w:t>
          </w:r>
          <w:r>
            <w:rPr>
              <w:rFonts w:hint="default" w:ascii="Times New Roman" w:hAnsi="Times New Roman" w:eastAsia="仿宋_GB2312" w:cs="Times New Roman"/>
              <w:bCs/>
              <w:sz w:val="28"/>
              <w:szCs w:val="28"/>
              <w:lang w:eastAsia="zh-CN"/>
            </w:rPr>
            <w:t>三亚海棠湾国家海岸休闲片区：460200-07</w:t>
          </w:r>
          <w:r>
            <w:rPr>
              <w:rFonts w:hint="default" w:ascii="Times New Roman" w:hAnsi="Times New Roman" w:eastAsia="仿宋_GB2312" w:cs="Times New Roman"/>
              <w:bCs/>
              <w:sz w:val="28"/>
              <w:szCs w:val="28"/>
              <w:lang w:val="en-US" w:eastAsia="zh-CN"/>
            </w:rPr>
            <w:t>-01</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_Toc10496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cs="Times New Roman"/>
              <w:color w:val="000000" w:themeColor="text1"/>
              <w:sz w:val="28"/>
              <w:szCs w:val="28"/>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500" w:lineRule="exact"/>
            <w:ind w:left="0" w:left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fldChar w:fldCharType="end"/>
          </w:r>
        </w:p>
      </w:sdtContent>
    </w:sdt>
    <w:p>
      <w:pPr>
        <w:adjustRightInd w:val="0"/>
        <w:spacing w:line="560" w:lineRule="exact"/>
        <w:jc w:val="center"/>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sectPr>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numPr>
          <w:ilvl w:val="0"/>
          <w:numId w:val="1"/>
        </w:numPr>
        <w:kinsoku/>
        <w:wordWrap/>
        <w:overflowPunct/>
        <w:topLinePunct w:val="0"/>
        <w:autoSpaceDE/>
        <w:autoSpaceDN/>
        <w:bidi w:val="0"/>
        <w:adjustRightInd w:val="0"/>
        <w:snapToGrid/>
        <w:spacing w:line="560" w:lineRule="exact"/>
        <w:jc w:val="center"/>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0" w:name="_Toc30706"/>
      <w:r>
        <w:rPr>
          <w:rFonts w:hint="default" w:ascii="Times New Roman" w:hAnsi="Times New Roman" w:eastAsia="黑体" w:cs="Times New Roman"/>
          <w:color w:val="000000" w:themeColor="text1"/>
          <w:sz w:val="44"/>
          <w:szCs w:val="44"/>
          <w:lang w:eastAsia="zh-CN"/>
          <w14:textFill>
            <w14:solidFill>
              <w14:schemeClr w14:val="tx1"/>
            </w14:solidFill>
          </w14:textFill>
        </w:rPr>
        <w:t xml:space="preserve"> 规划总则</w:t>
      </w:r>
      <w:bookmarkEnd w:id="0"/>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jc w:val="both"/>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1" w:name="_Toc2312"/>
      <w:bookmarkStart w:id="2" w:name="_Toc23200"/>
      <w:r>
        <w:rPr>
          <w:rFonts w:hint="eastAsia" w:ascii="楷体_GB2312" w:hAnsi="楷体_GB2312" w:eastAsia="楷体_GB2312" w:cs="楷体_GB2312"/>
          <w:color w:val="000000" w:themeColor="text1"/>
          <w:sz w:val="32"/>
          <w:szCs w:val="32"/>
          <w:lang w:eastAsia="zh-CN"/>
          <w14:textFill>
            <w14:solidFill>
              <w14:schemeClr w14:val="tx1"/>
            </w14:solidFill>
          </w14:textFill>
        </w:rPr>
        <w:t>（一）编制目的</w:t>
      </w:r>
      <w:bookmarkEnd w:id="1"/>
      <w:bookmarkEnd w:id="2"/>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根据《海南省绿色建筑发展条例》第七条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县级以上人民政府住房和城乡建设主管部门应当组织编制绿色建筑发展专项规划，明确发展目标、重点任务等。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要求，为深入贯彻落实《海南省绿色建筑发展条例》《海南省装配式建筑（绿色建筑）发展提升三年行动方案（2023-2025年）》文件精神，推动三亚市绿色建筑高质量发展，助力三亚市城乡建设领域碳达峰，结合本市实际情况，编制本专项规划。</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3" w:name="_Toc21012"/>
      <w:bookmarkStart w:id="4" w:name="_Toc10458"/>
      <w:r>
        <w:rPr>
          <w:rFonts w:hint="eastAsia" w:ascii="楷体_GB2312" w:hAnsi="楷体_GB2312" w:eastAsia="楷体_GB2312" w:cs="楷体_GB2312"/>
          <w:color w:val="000000" w:themeColor="text1"/>
          <w:sz w:val="32"/>
          <w:szCs w:val="32"/>
          <w:lang w:eastAsia="zh-CN"/>
          <w14:textFill>
            <w14:solidFill>
              <w14:schemeClr w14:val="tx1"/>
            </w14:solidFill>
          </w14:textFill>
        </w:rPr>
        <w:t>（二）编制原则</w:t>
      </w:r>
      <w:bookmarkEnd w:id="3"/>
      <w:bookmarkEnd w:id="4"/>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5" w:name="_Toc99102245"/>
      <w:bookmarkStart w:id="6" w:name="_Toc22492"/>
      <w:bookmarkStart w:id="7" w:name="_Toc23635"/>
      <w:bookmarkStart w:id="8" w:name="_Toc58957326"/>
      <w:bookmarkStart w:id="9" w:name="_Toc21295"/>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1.科学谋划、系统推进</w:t>
      </w:r>
      <w:bookmarkEnd w:id="5"/>
      <w:bookmarkEnd w:id="6"/>
      <w:bookmarkEnd w:id="7"/>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对标《海南省绿色建筑发展条例》要求和《海南省装配式建筑（绿色建筑）发展提升三年行动方案（2023-2025年）》目标，加强前瞻性思考、全局性谋划和战略性布局，确保规划编制科学合理，落地性更强。</w:t>
      </w:r>
    </w:p>
    <w:bookmarkEnd w:id="8"/>
    <w:bookmarkEnd w:id="9"/>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0" w:name="_Toc12931"/>
      <w:bookmarkStart w:id="11" w:name="_Toc58957328"/>
      <w:bookmarkStart w:id="12" w:name="_Toc99102246"/>
      <w:bookmarkStart w:id="13" w:name="_Toc9352"/>
      <w:bookmarkStart w:id="14" w:name="_Toc22667"/>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2.政府引导</w:t>
      </w:r>
      <w:bookmarkEnd w:id="10"/>
      <w:bookmarkEnd w:id="11"/>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、市场运作</w:t>
      </w:r>
      <w:bookmarkEnd w:id="12"/>
      <w:bookmarkEnd w:id="13"/>
      <w:bookmarkEnd w:id="14"/>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有效发挥政府在资源配置中的引导作用和服务功能，规范市场主体行为，强化企业市场主体地位，更好发挥政府在顶层设计、规划布局、政策制定等方面的引导作用，营造有利于绿色建筑发展的市场环境。</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5" w:name="_Toc58957329"/>
      <w:bookmarkStart w:id="16" w:name="_Toc12068"/>
      <w:bookmarkStart w:id="17" w:name="_Toc23832"/>
      <w:bookmarkStart w:id="18" w:name="_Toc4538"/>
      <w:bookmarkStart w:id="19" w:name="_Toc99102247"/>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3.</w:t>
      </w:r>
      <w:bookmarkEnd w:id="15"/>
      <w:bookmarkEnd w:id="16"/>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立足当前、着眼长远</w:t>
      </w:r>
      <w:bookmarkEnd w:id="17"/>
      <w:bookmarkEnd w:id="18"/>
      <w:bookmarkEnd w:id="19"/>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分析当前绿色建筑发展过程中存在的问题，把解决当前问题与长远发展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结合起来，找到发展目标的结合点，确立长远发展目标，提升建筑品质，满足人民群众美好生活需要。</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20" w:name="_Toc28577"/>
      <w:bookmarkStart w:id="21" w:name="_Toc17813"/>
      <w:r>
        <w:rPr>
          <w:rFonts w:hint="eastAsia" w:ascii="楷体_GB2312" w:hAnsi="楷体_GB2312" w:eastAsia="楷体_GB2312" w:cs="楷体_GB2312"/>
          <w:color w:val="000000" w:themeColor="text1"/>
          <w:sz w:val="32"/>
          <w:szCs w:val="32"/>
          <w:lang w:eastAsia="zh-CN"/>
          <w14:textFill>
            <w14:solidFill>
              <w14:schemeClr w14:val="tx1"/>
            </w14:solidFill>
          </w14:textFill>
        </w:rPr>
        <w:t>（三）编制依据</w:t>
      </w:r>
      <w:bookmarkEnd w:id="20"/>
      <w:bookmarkEnd w:id="21"/>
    </w:p>
    <w:p>
      <w:pPr>
        <w:keepNext w:val="0"/>
        <w:keepLines w:val="0"/>
        <w:pageBreakBefore w:val="0"/>
        <w:widowControl/>
        <w:kinsoku/>
        <w:wordWrap/>
        <w:overflowPunct/>
        <w:topLinePunct w:val="0"/>
        <w:autoSpaceDE/>
        <w:autoSpaceDN/>
        <w:bidi w:val="0"/>
        <w:snapToGrid/>
        <w:spacing w:line="560" w:lineRule="exact"/>
        <w:ind w:firstLine="640" w:firstLineChars="20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22" w:name="_Toc16551"/>
      <w:bookmarkStart w:id="23" w:name="_Toc19430"/>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1.政策文件</w:t>
      </w:r>
      <w:bookmarkEnd w:id="22"/>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国务院办公厅关于大力发展装配式建筑的指导意见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（国办发〔2016〕71号）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（2）中共中央 国务院印发《海南自由贸易港建设总体方案》（2020年6月）</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住房和城乡建设部等部门关于加快新型建筑工业化发展的若干意见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（建标规〔2020〕8号）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中共中央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国务院关于完整准确全面贯彻新发展理念做好碳达峰碳中和工作的意见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（2021年9月）</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（5）中共中央办公厅 国务院办公厅印发《关于推动城乡建设绿色发展的意见》（2021年10月）</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国务院关于印发2030年前碳达峰行动方案的通知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（国发〔2021〕23号）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住房和城乡建设部 国家发展改革委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关于印发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城乡建设领域碳达峰实施方案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53号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国家发展改革委 国家能源局关于完善能源绿色低碳转型体制机制和政策措施的意见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（发改能源〔2022〕206号）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国务院办公厅转发国家发展改革委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国家能源局关于促进新时代新能源高质量发展实施方案的通知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（国办函〔2022〕39号）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国家发展改革委等部门关于大力实施可再生能源替代行动的指导意见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（发改能源〔2024〕1537号）</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）《海南省绿色建筑发展条例》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2023年1月1日起施行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海南省人民政府关于大力发展装配式建筑的实施意见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（琼府〔2017〕100号）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）海南省发展和改革委员会关于印发《关于大力推进分布式光伏发电的实施意见（试行）》的通知（琼发改能源〔2021〕489号）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）《海南省人民政府关于印发海南省碳达峰实施方案的通知》（琼府〔2022〕27号）</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海南省推进建筑和市政基础设施设备更新工作实施方案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（2024年5月）</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）《三亚市住房和城乡建设局关于推进高星级绿色建筑、超低能耗建筑、近零能耗建筑、零能耗建筑发展的通知》（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三住建〔2023〕46号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）《三亚市海绵城市规划建设管理暂行办法》（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2019修订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三亚市人民政府关于印发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《三亚市分布式光伏发电项目管理办法》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三府规〔2022〕29号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24" w:name="_Toc15322"/>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2.技术文件</w:t>
      </w:r>
      <w:bookmarkEnd w:id="24"/>
    </w:p>
    <w:bookmarkEnd w:id="23"/>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（1）《三亚市国土空间总体规划（2021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2035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（2）《三亚市能源中长期发展规划（2019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2030年）》</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）各片区控制性详细规划</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）《建筑节能与可再生能源利用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规范》（GB55015-2021）</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建筑环境通用规范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GB55016-2021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）《装配式混凝土建筑技术标准》（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GB</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51231-2016）</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（7）《既有建筑绿色改造评价标准》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GB/T51141-2015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）《绿色建筑评价标准》（GB/T50378-2019（2024年版））</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）《海南省既有建筑绿色改造技术标准》（DBJ46—046—2017）</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）《海南省绿色建筑评价标准（民用建筑篇）（DBJ46-064-2023）</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）《海南省绿色建筑建设技术标准（民用建筑篇）（DBJ46-072-2024）</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）《海南省民用建筑绿色专篇实施指南（试行）》</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）《海南省绿色建筑发展专项规划编制技术导则》</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）《海南省超低能耗建筑技术导则（试行）》</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25" w:name="_Toc3114"/>
      <w:bookmarkStart w:id="26" w:name="_Toc13344"/>
      <w:r>
        <w:rPr>
          <w:rFonts w:hint="eastAsia" w:ascii="楷体_GB2312" w:hAnsi="楷体_GB2312" w:eastAsia="楷体_GB2312" w:cs="楷体_GB2312"/>
          <w:color w:val="000000" w:themeColor="text1"/>
          <w:sz w:val="32"/>
          <w:szCs w:val="32"/>
          <w:lang w:eastAsia="zh-CN"/>
          <w14:textFill>
            <w14:solidFill>
              <w14:schemeClr w14:val="tx1"/>
            </w14:solidFill>
          </w14:textFill>
        </w:rPr>
        <w:t>（四）规划范围</w:t>
      </w:r>
      <w:bookmarkEnd w:id="25"/>
      <w:bookmarkEnd w:id="26"/>
    </w:p>
    <w:p>
      <w:pPr>
        <w:keepNext w:val="0"/>
        <w:keepLines w:val="0"/>
        <w:pageBreakBefore w:val="0"/>
        <w:widowControl/>
        <w:kinsoku/>
        <w:wordWrap/>
        <w:overflowPunct/>
        <w:topLinePunct w:val="0"/>
        <w:autoSpaceDE/>
        <w:autoSpaceDN/>
        <w:bidi w:val="0"/>
        <w:snapToGrid/>
        <w:spacing w:line="560" w:lineRule="exact"/>
        <w:ind w:firstLine="640" w:firstLineChars="20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27" w:name="_Toc12190"/>
      <w:bookmarkStart w:id="28" w:name="_Toc21252"/>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1.规划范围</w:t>
      </w:r>
      <w:bookmarkEnd w:id="27"/>
      <w:bookmarkEnd w:id="28"/>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规划范围为三亚市域内城镇民用建筑及工业建筑，包括三亚市吉阳区、崖州区、天涯区、海棠区，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规划陆域面积1890.93平方千米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Style w:val="21"/>
          <w:rFonts w:hint="default" w:ascii="Times New Roman" w:hAnsi="Times New Roman" w:eastAsia="仿宋_GB2312" w:cs="Times New Roman"/>
          <w:color w:val="000000" w:themeColor="text1"/>
          <w:sz w:val="32"/>
          <w:szCs w:val="32"/>
          <w:lang w:val="en-US" w:eastAsia="zh-CN"/>
          <w14:textFill>
            <w14:solidFill>
              <w14:schemeClr w14:val="tx1"/>
            </w14:solidFill>
          </w14:textFill>
        </w:rPr>
        <w:footnoteReference w:id="0"/>
      </w:r>
    </w:p>
    <w:p>
      <w:pPr>
        <w:keepNext w:val="0"/>
        <w:keepLines w:val="0"/>
        <w:pageBreakBefore w:val="0"/>
        <w:widowControl/>
        <w:kinsoku/>
        <w:wordWrap/>
        <w:overflowPunct/>
        <w:topLinePunct w:val="0"/>
        <w:autoSpaceDE/>
        <w:autoSpaceDN/>
        <w:bidi w:val="0"/>
        <w:snapToGrid/>
        <w:spacing w:line="560" w:lineRule="exact"/>
        <w:ind w:firstLine="640" w:firstLineChars="20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29" w:name="_Toc32258"/>
      <w:bookmarkStart w:id="30" w:name="_Toc27235"/>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2.规划内容</w:t>
      </w:r>
      <w:bookmarkEnd w:id="29"/>
      <w:bookmarkEnd w:id="30"/>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本次规划的内容包括：确定规划的目的、原则、依据、范围、期限、法律效力；确定三亚市域范围内的绿色建筑、建筑绿色化改造、装配式建筑、可再生能源应用和建筑碳排放的总体思路、发展目标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重点任务；确定目标管理单元分区及指标要求，确定重点发展区域，明确各管理单元控制性指标和引导性指标。</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31" w:name="_Toc25547"/>
      <w:bookmarkStart w:id="32" w:name="_Toc11861"/>
      <w:r>
        <w:rPr>
          <w:rFonts w:hint="eastAsia" w:ascii="楷体_GB2312" w:hAnsi="楷体_GB2312" w:eastAsia="楷体_GB2312" w:cs="楷体_GB2312"/>
          <w:color w:val="000000" w:themeColor="text1"/>
          <w:sz w:val="32"/>
          <w:szCs w:val="32"/>
          <w:lang w:eastAsia="zh-CN"/>
          <w14:textFill>
            <w14:solidFill>
              <w14:schemeClr w14:val="tx1"/>
            </w14:solidFill>
          </w14:textFill>
        </w:rPr>
        <w:t>（五）规划期限</w:t>
      </w:r>
      <w:bookmarkEnd w:id="31"/>
      <w:bookmarkEnd w:id="32"/>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绿色建筑专项规划有效期为5年，规划年限为2024~2028年。</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33" w:name="_Toc9756"/>
      <w:bookmarkStart w:id="34" w:name="_Toc14754"/>
      <w:r>
        <w:rPr>
          <w:rFonts w:hint="eastAsia" w:ascii="楷体_GB2312" w:hAnsi="楷体_GB2312" w:eastAsia="楷体_GB2312" w:cs="楷体_GB2312"/>
          <w:color w:val="000000" w:themeColor="text1"/>
          <w:sz w:val="32"/>
          <w:szCs w:val="32"/>
          <w:lang w:eastAsia="zh-CN"/>
          <w14:textFill>
            <w14:solidFill>
              <w14:schemeClr w14:val="tx1"/>
            </w14:solidFill>
          </w14:textFill>
        </w:rPr>
        <w:t>（六）法律效力</w:t>
      </w:r>
      <w:bookmarkEnd w:id="33"/>
      <w:bookmarkEnd w:id="34"/>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本规划是三亚市绿色建筑发展的总指引。在规划期限内，凡在规划区范围内进行的与绿色建筑相关的规划及建设活动，均应遵循本规划的规定。</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35" w:name="_Toc29276"/>
      <w:bookmarkStart w:id="36" w:name="_Toc4220"/>
      <w:r>
        <w:rPr>
          <w:rFonts w:hint="eastAsia" w:ascii="楷体_GB2312" w:hAnsi="楷体_GB2312" w:eastAsia="楷体_GB2312" w:cs="楷体_GB2312"/>
          <w:color w:val="000000" w:themeColor="text1"/>
          <w:sz w:val="32"/>
          <w:szCs w:val="32"/>
          <w:lang w:eastAsia="zh-CN"/>
          <w14:textFill>
            <w14:solidFill>
              <w14:schemeClr w14:val="tx1"/>
            </w14:solidFill>
          </w14:textFill>
        </w:rPr>
        <w:t>（七）其他规定</w:t>
      </w:r>
      <w:bookmarkEnd w:id="35"/>
      <w:bookmarkEnd w:id="36"/>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1.本规划的解释权归三亚市住房和城乡建设局所有。</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2.本规划经三亚市人民政府批准后，自公布之日起开始实施。</w:t>
      </w:r>
    </w:p>
    <w:p>
      <w:pPr>
        <w:rPr>
          <w:rFonts w:hint="default" w:ascii="Times New Roman" w:hAnsi="Times New Roman" w:eastAsia="黑体" w:cs="Times New Roman"/>
          <w:color w:val="000000" w:themeColor="text1"/>
          <w:sz w:val="32"/>
          <w:szCs w:val="32"/>
          <w:lang w:eastAsia="zh-CN"/>
          <w14:textFill>
            <w14:solidFill>
              <w14:schemeClr w14:val="tx1"/>
            </w14:solidFill>
          </w14:textFill>
        </w:rPr>
      </w:pPr>
      <w:bookmarkStart w:id="37" w:name="_Toc443420200"/>
      <w:r>
        <w:rPr>
          <w:rFonts w:hint="default" w:ascii="Times New Roman" w:hAnsi="Times New Roman" w:eastAsia="黑体" w:cs="Times New Roman"/>
          <w:color w:val="000000" w:themeColor="text1"/>
          <w:sz w:val="32"/>
          <w:szCs w:val="32"/>
          <w:lang w:eastAsia="zh-CN"/>
          <w14:textFill>
            <w14:solidFill>
              <w14:schemeClr w14:val="tx1"/>
            </w14:solidFill>
          </w14:textFill>
        </w:rPr>
        <w:br w:type="page"/>
      </w:r>
    </w:p>
    <w:bookmarkEnd w:id="37"/>
    <w:p>
      <w:pPr>
        <w:numPr>
          <w:ilvl w:val="0"/>
          <w:numId w:val="1"/>
        </w:numPr>
        <w:adjustRightInd w:val="0"/>
        <w:spacing w:line="560" w:lineRule="exact"/>
        <w:ind w:left="0" w:leftChars="0" w:firstLine="0" w:firstLineChars="0"/>
        <w:jc w:val="center"/>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38" w:name="_Toc27133"/>
      <w:bookmarkStart w:id="39" w:name="_Toc18074"/>
      <w:bookmarkStart w:id="40" w:name="_Toc161324577"/>
      <w:r>
        <w:rPr>
          <w:rFonts w:hint="default" w:ascii="Times New Roman" w:hAnsi="Times New Roman" w:eastAsia="黑体" w:cs="Times New Roman"/>
          <w:color w:val="000000" w:themeColor="text1"/>
          <w:sz w:val="44"/>
          <w:szCs w:val="44"/>
          <w:lang w:eastAsia="zh-CN"/>
          <w14:textFill>
            <w14:solidFill>
              <w14:schemeClr w14:val="tx1"/>
            </w14:solidFill>
          </w14:textFill>
        </w:rPr>
        <w:t xml:space="preserve"> 绿色建筑发展现状</w:t>
      </w:r>
      <w:bookmarkEnd w:id="38"/>
      <w:bookmarkEnd w:id="39"/>
    </w:p>
    <w:p>
      <w:pPr>
        <w:numPr>
          <w:ilvl w:val="0"/>
          <w:numId w:val="0"/>
        </w:numPr>
        <w:adjustRightInd w:val="0"/>
        <w:spacing w:line="560" w:lineRule="exact"/>
        <w:ind w:leftChars="0"/>
        <w:jc w:val="both"/>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p>
    <w:bookmarkEnd w:id="40"/>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41" w:name="_Toc26869"/>
      <w:bookmarkStart w:id="42" w:name="_Toc18593"/>
      <w:bookmarkStart w:id="43" w:name="_Toc443420201"/>
      <w:r>
        <w:rPr>
          <w:rFonts w:hint="eastAsia" w:ascii="楷体_GB2312" w:hAnsi="楷体_GB2312" w:eastAsia="楷体_GB2312" w:cs="楷体_GB2312"/>
          <w:color w:val="000000" w:themeColor="text1"/>
          <w:sz w:val="32"/>
          <w:szCs w:val="32"/>
          <w:lang w:eastAsia="zh-CN"/>
          <w14:textFill>
            <w14:solidFill>
              <w14:schemeClr w14:val="tx1"/>
            </w14:solidFill>
          </w14:textFill>
        </w:rPr>
        <w:t>（一）规划区基本情况</w:t>
      </w:r>
      <w:bookmarkEnd w:id="41"/>
      <w:bookmarkEnd w:id="42"/>
    </w:p>
    <w:p>
      <w:pPr>
        <w:widowControl w:val="0"/>
        <w:spacing w:line="62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44" w:name="_Toc6995"/>
      <w:bookmarkStart w:id="45" w:name="_Toc1653"/>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1.区位条件分析</w:t>
      </w:r>
      <w:bookmarkEnd w:id="44"/>
      <w:bookmarkEnd w:id="45"/>
    </w:p>
    <w:p>
      <w:pPr>
        <w:spacing w:line="62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三亚市位于海南岛最南端，东邻陵水黎族自治县，北依保亭黎族苗族自治县，西毗乐东黎族自治县，南临南海，是海南南部的中心城市。全市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行政区范围内，海岸线向海一侧近岸海域面积3220.02平方千米，海岸线向陆一侧陆域面积1890.93平方千米</w:t>
      </w:r>
      <w:r>
        <w:rPr>
          <w:rStyle w:val="21"/>
          <w:rFonts w:hint="default" w:ascii="Times New Roman" w:hAnsi="Times New Roman" w:eastAsia="仿宋_GB2312" w:cs="Times New Roman"/>
          <w:color w:val="000000" w:themeColor="text1"/>
          <w:sz w:val="32"/>
          <w:szCs w:val="32"/>
          <w:lang w:val="en-US" w:eastAsia="zh-CN"/>
          <w14:textFill>
            <w14:solidFill>
              <w14:schemeClr w14:val="tx1"/>
            </w14:solidFill>
          </w14:textFill>
        </w:rPr>
        <w:footnoteReference w:id="1"/>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辖海棠区、吉阳区、天涯区、崖州区4区，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村民委员会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居民委员会</w:t>
      </w:r>
      <w:r>
        <w:rPr>
          <w:rStyle w:val="21"/>
          <w:rFonts w:hint="default" w:ascii="Times New Roman" w:hAnsi="Times New Roman" w:eastAsia="仿宋_GB2312" w:cs="Times New Roman"/>
          <w:color w:val="000000" w:themeColor="text1"/>
          <w:sz w:val="32"/>
          <w:szCs w:val="32"/>
          <w:lang w:val="en-US" w:eastAsia="zh-CN"/>
          <w14:textFill>
            <w14:solidFill>
              <w14:schemeClr w14:val="tx1"/>
            </w14:solidFill>
          </w14:textFill>
        </w:rPr>
        <w:footnoteReference w:id="2"/>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。根据第七次人口普查数据，三亚市常住人口为1031396人。三亚市根据国家对</w:t>
      </w:r>
      <w:r>
        <w:rPr>
          <w:rFonts w:hint="eastAsia" w:ascii="仿宋_GB2312" w:hAnsi="仿宋_GB2312" w:eastAsia="仿宋_GB2312" w:cs="仿宋_GB2312"/>
          <w:color w:val="000000" w:themeColor="text1"/>
          <w:sz w:val="32"/>
          <w:szCs w:val="32"/>
          <w:lang w:eastAsia="zh-CN"/>
          <w14:textFill>
            <w14:solidFill>
              <w14:schemeClr w14:val="tx1"/>
            </w14:solidFill>
          </w14:textFill>
        </w:rPr>
        <w:t>海南“三区一中心”的战略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定位，积极</w:t>
      </w:r>
      <w:r>
        <w:rPr>
          <w:rFonts w:hint="eastAsia" w:ascii="仿宋_GB2312" w:hAnsi="仿宋_GB2312" w:eastAsia="仿宋_GB2312" w:cs="仿宋_GB2312"/>
          <w:color w:val="000000" w:themeColor="text1"/>
          <w:sz w:val="32"/>
          <w:szCs w:val="32"/>
          <w:lang w:eastAsia="zh-CN"/>
          <w14:textFill>
            <w14:solidFill>
              <w14:schemeClr w14:val="tx1"/>
            </w14:solidFill>
          </w14:textFill>
        </w:rPr>
        <w:t>发挥“区位优势、政策优势、生态优势、资源优势”，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当好自贸港建设标杆和转型发展示范，奋力谱写中国式现代化三亚新篇章。</w:t>
      </w:r>
    </w:p>
    <w:p>
      <w:pPr>
        <w:widowControl w:val="0"/>
        <w:spacing w:line="62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46" w:name="_Toc26673"/>
      <w:bookmarkStart w:id="47" w:name="_Toc22995"/>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2.环境与资源现状</w:t>
      </w:r>
      <w:bookmarkEnd w:id="46"/>
      <w:bookmarkEnd w:id="47"/>
    </w:p>
    <w:p>
      <w:pPr>
        <w:keepNext w:val="0"/>
        <w:keepLines w:val="0"/>
        <w:pageBreakBefore w:val="0"/>
        <w:widowControl/>
        <w:kinsoku/>
        <w:wordWrap w:val="0"/>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三亚地处东经108°56′30″~109°48′28″，北纬18°09′34″~18°37′27″，属热带海洋性季风气候区，按建筑热工划分为夏热冬暖地区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B区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。常年平均温度25.9℃，平均降水量1452.1mm，5~10月为雨季，降水量占全年的90%左右。全市太阳能资源丰富，常年日照时间2400多小时，辐射资源分布均匀，直接辐射偏弱，技术可开发储量8.49×10</w:t>
      </w:r>
      <w:r>
        <w:rPr>
          <w:rFonts w:hint="default" w:ascii="Times New Roman" w:hAnsi="Times New Roman" w:eastAsia="仿宋_GB2312" w:cs="Times New Roman"/>
          <w:color w:val="000000" w:themeColor="text1"/>
          <w:sz w:val="32"/>
          <w:szCs w:val="32"/>
          <w:vertAlign w:val="superscript"/>
          <w:lang w:eastAsia="zh-CN"/>
          <w14:textFill>
            <w14:solidFill>
              <w14:schemeClr w14:val="tx1"/>
            </w14:solidFill>
          </w14:textFill>
        </w:rPr>
        <w:t>14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千焦，具有较好的市场前景和发展潜力。</w:t>
      </w:r>
    </w:p>
    <w:p>
      <w:pPr>
        <w:spacing w:line="62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2022年，三亚市农用地共162601.30公顷，其中耕地15931.35公顷，园地59614.71公顷，林地79365.88公顷，草地17.12公顷，其他农用地7672.24公顷；建设用地24507.84公顷，其中城镇工矿用地16341.11公顷，农村居民点4817.98公顷，交通用地3173.45公顷，水利设施用地175.3公顷；未利用地5030.49公顷。</w:t>
      </w:r>
      <w:r>
        <w:rPr>
          <w:rStyle w:val="21"/>
          <w:rFonts w:hint="default" w:ascii="Times New Roman" w:hAnsi="Times New Roman" w:eastAsia="仿宋_GB2312" w:cs="Times New Roman"/>
          <w:color w:val="000000" w:themeColor="text1"/>
          <w:sz w:val="32"/>
          <w:szCs w:val="32"/>
          <w:lang w:eastAsia="zh-CN"/>
          <w14:textFill>
            <w14:solidFill>
              <w14:schemeClr w14:val="tx1"/>
            </w14:solidFill>
          </w14:textFill>
        </w:rPr>
        <w:footnoteReference w:id="3"/>
      </w:r>
    </w:p>
    <w:p>
      <w:pP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drawing>
          <wp:inline distT="0" distB="0" distL="114300" distR="114300">
            <wp:extent cx="5612765" cy="3489325"/>
            <wp:effectExtent l="0" t="0" r="1079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612765" cy="3489325"/>
                    </a:xfrm>
                    <a:prstGeom prst="rect">
                      <a:avLst/>
                    </a:prstGeom>
                    <a:noFill/>
                    <a:ln>
                      <a:noFill/>
                    </a:ln>
                  </pic:spPr>
                </pic:pic>
              </a:graphicData>
            </a:graphic>
          </wp:inline>
        </w:drawing>
      </w:r>
    </w:p>
    <w:p>
      <w:pPr>
        <w:jc w:val="cente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t>图2-1  2022年三亚市用地情况图</w:t>
      </w:r>
    </w:p>
    <w:p>
      <w:pPr>
        <w:widowControl w:val="0"/>
        <w:spacing w:line="64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48" w:name="_Toc13118"/>
      <w:bookmarkStart w:id="49" w:name="_Toc31863"/>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3.经济及产业发展</w:t>
      </w:r>
      <w:bookmarkEnd w:id="48"/>
      <w:bookmarkEnd w:id="49"/>
    </w:p>
    <w:p>
      <w:pPr>
        <w:spacing w:line="64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2018~2023年，三亚市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生产总值稳步增长，其中第三产业增加值增长迅速，第二产业增加值较为稳定。在走出疫情冲击，自贸港封关运作前关键窗口期的2023年，三亚市坚持以习近平新时代中国特色社会主义思想为指导，全面贯彻落实党的二十大精神，力促经济稳步回升。2023年全市地区生产总值971.34亿元，按不变价格计算，同比增长12.0%，第三产业增加值增长幅度明显。</w:t>
      </w:r>
    </w:p>
    <w:p>
      <w:pPr>
        <w:spacing w:line="640" w:lineRule="exact"/>
        <w:ind w:firstLine="482" w:firstLineChars="200"/>
        <w:jc w:val="cente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t>表1  三亚市2018-2023年生产总值</w:t>
      </w:r>
    </w:p>
    <w:tbl>
      <w:tblPr>
        <w:tblStyle w:val="17"/>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09"/>
        <w:gridCol w:w="1509"/>
        <w:gridCol w:w="1509"/>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年份</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生产总值（亿元）</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第一产业增加值（亿元）</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第二产业增加值（亿元）</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第三产业增加值（亿元）</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占全省地区生产总值比重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2018</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595.5</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68.3</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118.2</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409</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2019</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677.9</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71.5</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112.4</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494.0</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2020</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695.4</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79.2</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113.3</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502.9</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2021</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835.4</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93.8</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124.7</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616.9</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2022</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847.1</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110.3</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114.7</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622.0</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2023</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971.3</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110.9</w:t>
            </w:r>
          </w:p>
        </w:tc>
        <w:tc>
          <w:tcPr>
            <w:tcW w:w="1509"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132.6</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727.8</w:t>
            </w:r>
          </w:p>
        </w:tc>
        <w:tc>
          <w:tcPr>
            <w:tcW w:w="151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12.9%</w:t>
            </w:r>
          </w:p>
        </w:tc>
      </w:tr>
    </w:tbl>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drawing>
          <wp:inline distT="0" distB="0" distL="114300" distR="114300">
            <wp:extent cx="5640705" cy="4488815"/>
            <wp:effectExtent l="5080" t="4445" r="8255"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40" w:lineRule="auto"/>
        <w:ind w:firstLine="0" w:firstLineChars="0"/>
        <w:jc w:val="cente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t>图2-2  三亚市2018-2023年生产总值统计图</w:t>
      </w:r>
    </w:p>
    <w:p>
      <w:pPr>
        <w:widowControl w:val="0"/>
        <w:spacing w:line="56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50" w:name="_Toc6821"/>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4.开发建设现状</w:t>
      </w:r>
      <w:bookmarkEnd w:id="50"/>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在建筑业和房地产业发展方面，三亚市近两年新开工建筑面积有所下降，主要原因为住宅项目开工面积大幅降低，但办公楼等公建类项目呈一定增长趋势。海南省正大力推进自由贸易港建设，大型高规格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国际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国内体育、展览、交流活动将成为三亚市招商引资的重点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方向之一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新的产业发展形势下，建筑业也需加快转型升级，大型公共建筑、综合服务设施和配套服务体系也将成为三亚市向大众展示发展成果和开放心态的重要名片，因此此类活动应用建筑项目将被列为低碳重点示范项目建设。</w:t>
      </w:r>
    </w:p>
    <w:p>
      <w:pPr>
        <w:spacing w:line="560" w:lineRule="exact"/>
        <w:ind w:firstLine="482" w:firstLineChars="200"/>
        <w:jc w:val="cente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t>表2  三亚市2018-2023年建筑业和房地产业发展情况统计表</w:t>
      </w:r>
    </w:p>
    <w:p>
      <w:pPr>
        <w:spacing w:line="20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tbl>
      <w:tblPr>
        <w:tblStyle w:val="17"/>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32"/>
        <w:gridCol w:w="1132"/>
        <w:gridCol w:w="1132"/>
        <w:gridCol w:w="1132"/>
        <w:gridCol w:w="1132"/>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年份</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建筑业增加值（亿元）</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全年签订合同额（亿元）</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建筑业总产值（亿元）</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房屋施工面积（万㎡）</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其中住宅施工面积（万㎡）</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其中办公楼施工面积（万㎡）</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其中新开工面积（万㎡）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2018</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95.1</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82.2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46.5</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1492.4</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1058.4</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40.6</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2019</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90.5</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100.6</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42.7</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1225.3</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839.8</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35.6</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2020</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94.2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97.1</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41.6</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1345.4</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882.0</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55.2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2021</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100.1</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109.5</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38.1</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1460.0</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932.2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62.8</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91.5</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115.4</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36.2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1339.4</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829.5</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98.2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2023</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94.2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105.2</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41.4</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1258.3</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755.0</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129.3</w:t>
            </w:r>
          </w:p>
        </w:tc>
        <w:tc>
          <w:tcPr>
            <w:tcW w:w="1132" w:type="dxa"/>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219.2</w:t>
            </w:r>
          </w:p>
        </w:tc>
      </w:tr>
    </w:tbl>
    <w:p>
      <w:pPr>
        <w:jc w:val="center"/>
        <w:rPr>
          <w:rFonts w:hint="default" w:ascii="Times New Roman" w:hAnsi="Times New Roman" w:cs="Times New Roman"/>
          <w:color w:val="000000" w:themeColor="text1"/>
          <w:lang w:eastAsia="zh-CN"/>
          <w14:textFill>
            <w14:solidFill>
              <w14:schemeClr w14:val="tx1"/>
            </w14:solidFill>
          </w14:textFill>
        </w:rPr>
      </w:pPr>
      <w:bookmarkStart w:id="51" w:name="_Toc16612"/>
      <w:r>
        <w:rPr>
          <w:rFonts w:hint="default" w:ascii="Times New Roman" w:hAnsi="Times New Roman" w:cs="Times New Roman"/>
          <w:color w:val="000000" w:themeColor="text1"/>
          <w:lang w:eastAsia="zh-CN"/>
          <w14:textFill>
            <w14:solidFill>
              <w14:schemeClr w14:val="tx1"/>
            </w14:solidFill>
          </w14:textFill>
        </w:rPr>
        <w:drawing>
          <wp:inline distT="0" distB="0" distL="114300" distR="114300">
            <wp:extent cx="5548630" cy="4491990"/>
            <wp:effectExtent l="4445" t="4445" r="952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40" w:lineRule="auto"/>
        <w:ind w:firstLine="0" w:firstLineChars="0"/>
        <w:jc w:val="cente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t>图2-3  三亚市2018-2023年建筑业和房地产业发展图</w:t>
      </w:r>
    </w:p>
    <w:p>
      <w:pPr>
        <w:rPr>
          <w:rFonts w:hint="default" w:ascii="Times New Roman" w:hAnsi="Times New Roman" w:cs="Times New Roman"/>
          <w:color w:val="000000" w:themeColor="text1"/>
          <w:lang w:eastAsia="zh-CN"/>
          <w14:textFill>
            <w14:solidFill>
              <w14:schemeClr w14:val="tx1"/>
            </w14:solidFill>
          </w14:textFill>
        </w:rPr>
      </w:pP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52" w:name="_Toc22734"/>
      <w:r>
        <w:rPr>
          <w:rFonts w:hint="eastAsia" w:ascii="楷体_GB2312" w:hAnsi="楷体_GB2312" w:eastAsia="楷体_GB2312" w:cs="楷体_GB2312"/>
          <w:color w:val="000000" w:themeColor="text1"/>
          <w:sz w:val="32"/>
          <w:szCs w:val="32"/>
          <w:lang w:eastAsia="zh-CN"/>
          <w14:textFill>
            <w14:solidFill>
              <w14:schemeClr w14:val="tx1"/>
            </w14:solidFill>
          </w14:textFill>
        </w:rPr>
        <w:t>（二）绿色建筑发展情况</w:t>
      </w:r>
      <w:bookmarkEnd w:id="51"/>
      <w:bookmarkEnd w:id="52"/>
    </w:p>
    <w:p>
      <w:pPr>
        <w:widowControl w:val="0"/>
        <w:spacing w:line="560" w:lineRule="exact"/>
        <w:ind w:firstLine="640" w:firstLineChars="200"/>
        <w:jc w:val="both"/>
        <w:outlineLvl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53" w:name="_Toc11048"/>
      <w:bookmarkStart w:id="54" w:name="_Toc5927"/>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1.政策文件分析</w:t>
      </w:r>
      <w:bookmarkEnd w:id="53"/>
      <w:bookmarkEnd w:id="54"/>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三亚市积极响应海南省委省政府绿色建筑（装配式建筑）高质量发展要求，贯彻落实《海南省绿色建筑发展条例》等法规政策文件。结合本市发展需求编制《三亚市建筑节能与绿色建筑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十四五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专项规划》，谋划专项目标和重点工作任务。持续构建绿色建筑（装配式）建筑全过程监管机制，在执行本省绿色建筑、装配式建筑主要环节管理政策文件基础上，2022~2024年连续印发建筑节能、绿色建筑及装配式建筑实施情况专项检查工作方案，紧抓工程项目相关技术体系设计内容的落地实施，并结合本市发展特色和发展优势，积极推进海绵城市和绿色生态小区建设，积极推广太阳能应用。将海绵城市设计纳入建设项目施工图审查事项，推动海绵城市设计与建筑、园林景观设计相协调。以《海南省绿色生态小区技术标准》为重要技术依据，在满足条件的项目中推进建设一定比例的高星级绿色建筑，鼓励采用装配式方式建造，加快推广高品质居住建筑。2023年，印发《三亚市住房和城乡建设局关于推进高星级绿色建筑、超低能耗建筑、近零能耗建筑、零能耗建筑发展的通知》，积极推进超低能耗、零碳建筑建设应用。</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在2024年三亚市政府工作报告中，提出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开展绿色低碳试点城市建设、力争2024年装配式建筑占比超过70%，新建民用建筑绿色建筑占比超过90%。</w:t>
      </w:r>
    </w:p>
    <w:p>
      <w:pPr>
        <w:widowControl w:val="0"/>
        <w:spacing w:line="560" w:lineRule="exact"/>
        <w:ind w:firstLine="640" w:firstLineChars="200"/>
        <w:jc w:val="both"/>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55" w:name="_Toc26833"/>
      <w:bookmarkStart w:id="56" w:name="_Toc7809"/>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2.发展现状分析</w:t>
      </w:r>
      <w:bookmarkEnd w:id="55"/>
      <w:bookmarkEnd w:id="56"/>
    </w:p>
    <w:p>
      <w:pPr>
        <w:pStyle w:val="15"/>
        <w:spacing w:line="560" w:lineRule="exact"/>
        <w:ind w:firstLine="640" w:firstLineChars="200"/>
        <w:jc w:val="both"/>
        <w:rPr>
          <w:rFonts w:hint="default"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绿色建筑方面，目前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市新建改扩建建筑项目已实现100%执行国家节能强制性标准，绿色建筑、装配式建筑发展始终处于全省先行水平，2020年以来，三亚市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新开工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绿色建筑、装配式建筑面积和占新建建筑面积比例均呈显著提升之势。2023年新建建筑中装配式建筑占比73%，绿色建筑占比93.6%，提前完成海南省政府提出的2025年绿色建筑占比80%的目标任务，更有海棠湾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长岛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喜来登酒店、晋合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海棠湾度假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酒店、亚特兰蒂斯酒店三个项目获得国家三星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绿色建筑运营标识。受疫情等因素影响，2022年三亚市新开工建筑面积有所降低，但当年装配式建筑面积及比例仍稳步增长。</w:t>
      </w:r>
    </w:p>
    <w:p>
      <w:pPr>
        <w:pStyle w:val="15"/>
        <w:spacing w:line="560" w:lineRule="exact"/>
        <w:ind w:firstLine="0" w:firstLine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仿宋_GB2312" w:cs="Times New Roman"/>
          <w:b/>
          <w:color w:val="000000" w:themeColor="text1"/>
          <w:lang w:eastAsia="zh-CN"/>
          <w14:textFill>
            <w14:solidFill>
              <w14:schemeClr w14:val="tx1"/>
            </w14:solidFill>
          </w14:textFill>
        </w:rPr>
        <w:t>表</w:t>
      </w:r>
      <w:r>
        <w:rPr>
          <w:rFonts w:hint="default" w:ascii="Times New Roman" w:hAnsi="Times New Roman" w:eastAsia="仿宋_GB2312" w:cs="Times New Roman"/>
          <w:b/>
          <w:color w:val="000000" w:themeColor="text1"/>
          <w:lang w:val="en-US" w:eastAsia="zh-CN"/>
          <w14:textFill>
            <w14:solidFill>
              <w14:schemeClr w14:val="tx1"/>
            </w14:solidFill>
          </w14:textFill>
        </w:rPr>
        <w:t>3</w:t>
      </w:r>
      <w:r>
        <w:rPr>
          <w:rFonts w:hint="default" w:ascii="Times New Roman" w:hAnsi="Times New Roman" w:eastAsia="仿宋_GB2312" w:cs="Times New Roman"/>
          <w:b/>
          <w:color w:val="000000" w:themeColor="text1"/>
          <w:lang w:eastAsia="zh-CN"/>
          <w14:textFill>
            <w14:solidFill>
              <w14:schemeClr w14:val="tx1"/>
            </w14:solidFill>
          </w14:textFill>
        </w:rPr>
        <w:t xml:space="preserve"> 三亚市</w:t>
      </w:r>
      <w:r>
        <w:rPr>
          <w:rFonts w:hint="default" w:ascii="Times New Roman" w:hAnsi="Times New Roman" w:eastAsia="仿宋_GB2312" w:cs="Times New Roman"/>
          <w:b/>
          <w:color w:val="000000" w:themeColor="text1"/>
          <w:lang w:val="en-US" w:eastAsia="zh-CN"/>
          <w14:textFill>
            <w14:solidFill>
              <w14:schemeClr w14:val="tx1"/>
            </w14:solidFill>
          </w14:textFill>
        </w:rPr>
        <w:t>2020~2023年</w:t>
      </w:r>
      <w:r>
        <w:rPr>
          <w:rFonts w:hint="default" w:ascii="Times New Roman" w:hAnsi="Times New Roman" w:eastAsia="仿宋_GB2312" w:cs="Times New Roman"/>
          <w:b/>
          <w:color w:val="000000" w:themeColor="text1"/>
          <w:lang w:eastAsia="zh-CN"/>
          <w14:textFill>
            <w14:solidFill>
              <w14:schemeClr w14:val="tx1"/>
            </w14:solidFill>
          </w14:textFill>
        </w:rPr>
        <w:t>绿色建筑发展数据统计表</w:t>
      </w:r>
    </w:p>
    <w:tbl>
      <w:tblPr>
        <w:tblStyle w:val="16"/>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年份</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2020</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2021</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2022</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施工许可项目（个）</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171</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185</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100</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绿色建筑项目（个）</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103</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115</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67</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建筑面积（万㎡）</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756</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674</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495.2</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绿色建筑面积（万㎡）</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671</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650</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455.6</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项目数量占比</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60</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62</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67</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1" w:type="dxa"/>
            <w:tcBorders>
              <w:tl2br w:val="nil"/>
              <w:tr2bl w:val="nil"/>
            </w:tcBorders>
            <w:vAlign w:val="center"/>
          </w:tcPr>
          <w:p>
            <w:pPr>
              <w:jc w:val="center"/>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绿色建筑占比</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88</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96</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92</w:t>
            </w:r>
          </w:p>
        </w:tc>
        <w:tc>
          <w:tcPr>
            <w:tcW w:w="158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93.6</w:t>
            </w:r>
          </w:p>
        </w:tc>
      </w:tr>
    </w:tbl>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5"/>
        <w:spacing w:line="240" w:lineRule="auto"/>
        <w:ind w:firstLine="0" w:firstLine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color w:val="000000" w:themeColor="text1"/>
          <w:lang w:val="en-US" w:eastAsia="zh-CN"/>
          <w14:textFill>
            <w14:solidFill>
              <w14:schemeClr w14:val="tx1"/>
            </w14:solidFill>
          </w14:textFill>
        </w:rPr>
        <w:t>图2-4</w:t>
      </w:r>
      <w:r>
        <w:rPr>
          <w:rFonts w:hint="default" w:ascii="Times New Roman" w:hAnsi="Times New Roman" w:eastAsia="仿宋_GB2312" w:cs="Times New Roman"/>
          <w:b/>
          <w:color w:val="000000" w:themeColor="text1"/>
          <w:lang w:eastAsia="zh-CN"/>
          <w14:textFill>
            <w14:solidFill>
              <w14:schemeClr w14:val="tx1"/>
            </w14:solidFill>
          </w14:textFill>
        </w:rPr>
        <w:t xml:space="preserve"> 三亚市</w:t>
      </w:r>
      <w:r>
        <w:rPr>
          <w:rFonts w:hint="default" w:ascii="Times New Roman" w:hAnsi="Times New Roman" w:eastAsia="仿宋_GB2312" w:cs="Times New Roman"/>
          <w:b/>
          <w:color w:val="000000" w:themeColor="text1"/>
          <w:lang w:val="en-US" w:eastAsia="zh-CN"/>
          <w14:textFill>
            <w14:solidFill>
              <w14:schemeClr w14:val="tx1"/>
            </w14:solidFill>
          </w14:textFill>
        </w:rPr>
        <w:t>2020~2023年</w:t>
      </w:r>
      <w:r>
        <w:rPr>
          <w:rFonts w:hint="default" w:ascii="Times New Roman" w:hAnsi="Times New Roman" w:eastAsia="仿宋_GB2312" w:cs="Times New Roman"/>
          <w:b/>
          <w:color w:val="000000" w:themeColor="text1"/>
          <w:lang w:eastAsia="zh-CN"/>
          <w14:textFill>
            <w14:solidFill>
              <w14:schemeClr w14:val="tx1"/>
            </w14:solidFill>
          </w14:textFill>
        </w:rPr>
        <w:t>绿色建筑发展数据统计</w:t>
      </w:r>
      <w:r>
        <w:rPr>
          <w:rFonts w:hint="default" w:ascii="Times New Roman" w:hAnsi="Times New Roman" w:eastAsia="仿宋_GB2312" w:cs="Times New Roman"/>
          <w:b/>
          <w:color w:val="000000" w:themeColor="text1"/>
          <w:lang w:val="en-US" w:eastAsia="zh-CN"/>
          <w14:textFill>
            <w14:solidFill>
              <w14:schemeClr w14:val="tx1"/>
            </w14:solidFill>
          </w14:textFill>
        </w:rPr>
        <w:t>图</w:t>
      </w: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b/>
          <w:bCs/>
          <w:color w:val="000000" w:themeColor="text1"/>
          <w:lang w:eastAsia="zh-CN"/>
          <w14:textFill>
            <w14:solidFill>
              <w14:schemeClr w14:val="tx1"/>
            </w14:solidFill>
          </w14:textFill>
        </w:rPr>
      </w:pPr>
    </w:p>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表</w:t>
      </w:r>
      <w:r>
        <w:rPr>
          <w:rFonts w:hint="default" w:ascii="Times New Roman" w:hAnsi="Times New Roman" w:eastAsia="仿宋_GB2312" w:cs="Times New Roman"/>
          <w:b/>
          <w:bCs/>
          <w:color w:val="000000" w:themeColor="text1"/>
          <w:lang w:val="en-US" w:eastAsia="zh-CN"/>
          <w14:textFill>
            <w14:solidFill>
              <w14:schemeClr w14:val="tx1"/>
            </w14:solidFill>
          </w14:textFill>
        </w:rPr>
        <w:t>4</w:t>
      </w:r>
      <w:r>
        <w:rPr>
          <w:rFonts w:hint="default" w:ascii="Times New Roman" w:hAnsi="Times New Roman" w:eastAsia="仿宋_GB2312" w:cs="Times New Roman"/>
          <w:b/>
          <w:bCs/>
          <w:color w:val="000000" w:themeColor="text1"/>
          <w:lang w:eastAsia="zh-CN"/>
          <w14:textFill>
            <w14:solidFill>
              <w14:schemeClr w14:val="tx1"/>
            </w14:solidFill>
          </w14:textFill>
        </w:rPr>
        <w:t xml:space="preserve"> 三亚市</w:t>
      </w:r>
      <w:r>
        <w:rPr>
          <w:rFonts w:hint="default" w:ascii="Times New Roman" w:hAnsi="Times New Roman" w:eastAsia="仿宋_GB2312" w:cs="Times New Roman"/>
          <w:b/>
          <w:bCs/>
          <w:color w:val="000000" w:themeColor="text1"/>
          <w:lang w:val="en-US" w:eastAsia="zh-CN"/>
          <w14:textFill>
            <w14:solidFill>
              <w14:schemeClr w14:val="tx1"/>
            </w14:solidFill>
          </w14:textFill>
        </w:rPr>
        <w:t>2019~2023年</w:t>
      </w:r>
      <w:r>
        <w:rPr>
          <w:rFonts w:hint="default" w:ascii="Times New Roman" w:hAnsi="Times New Roman" w:eastAsia="仿宋_GB2312" w:cs="Times New Roman"/>
          <w:b/>
          <w:bCs/>
          <w:color w:val="000000" w:themeColor="text1"/>
          <w:lang w:eastAsia="zh-CN"/>
          <w14:textFill>
            <w14:solidFill>
              <w14:schemeClr w14:val="tx1"/>
            </w14:solidFill>
          </w14:textFill>
        </w:rPr>
        <w:t>装配式建筑发展数据统计表</w:t>
      </w:r>
    </w:p>
    <w:tbl>
      <w:tblPr>
        <w:tblStyle w:val="1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1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年份</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2019</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2020</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2021</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2022</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0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新开工建筑面积（万㎡）</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642</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756</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735</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495</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0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装配式建筑面积（万㎡）</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47.47</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246</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425</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326</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9"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面积占比</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7.4</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32.5</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57.8</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65.9</w:t>
            </w:r>
          </w:p>
        </w:tc>
        <w:tc>
          <w:tcPr>
            <w:tcW w:w="1510" w:type="dxa"/>
            <w:tcBorders>
              <w:tl2br w:val="nil"/>
              <w:tr2bl w:val="nil"/>
            </w:tcBorders>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73</w:t>
            </w:r>
          </w:p>
        </w:tc>
      </w:tr>
    </w:tbl>
    <w:p>
      <w:pPr>
        <w:adjustRightInd w:val="0"/>
        <w:snapToGrid w:val="0"/>
        <w:rPr>
          <w:rFonts w:hint="default" w:ascii="Times New Roman" w:hAnsi="Times New Roman" w:eastAsia="仿宋_GB2312" w:cs="Times New Roman"/>
          <w:color w:val="000000" w:themeColor="text1"/>
          <w:lang w:eastAsia="zh-CN"/>
          <w14:textFill>
            <w14:solidFill>
              <w14:schemeClr w14:val="tx1"/>
            </w14:solidFill>
          </w14:textFill>
        </w:rPr>
      </w:pPr>
    </w:p>
    <w:p>
      <w:pPr>
        <w:pStyle w:val="4"/>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object>
          <v:shape id="_x0000_i1025" o:spt="75" type="#_x0000_t75" style="height:285.85pt;width:385.65pt;" o:ole="t" filled="f" o:preferrelative="t" stroked="f" coordsize="21600,21600">
            <v:path/>
            <v:fill on="f" focussize="0,0"/>
            <v:stroke on="f" joinstyle="miter"/>
            <v:imagedata r:id="rId13" o:title=""/>
            <o:lock v:ext="edit" aspectratio="t"/>
            <w10:wrap type="none"/>
            <w10:anchorlock/>
          </v:shape>
          <o:OLEObject Type="Embed" ProgID="Excel.Sheet.8" ShapeID="_x0000_i1025" DrawAspect="Content" ObjectID="_1468075725" r:id="rId12">
            <o:LockedField>false</o:LockedField>
          </o:OLEObject>
        </w:object>
      </w:r>
    </w:p>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val="en-US" w:eastAsia="zh-CN"/>
          <w14:textFill>
            <w14:solidFill>
              <w14:schemeClr w14:val="tx1"/>
            </w14:solidFill>
          </w14:textFill>
        </w:rPr>
        <w:t>图2-5</w:t>
      </w:r>
      <w:r>
        <w:rPr>
          <w:rFonts w:hint="default" w:ascii="Times New Roman" w:hAnsi="Times New Roman" w:eastAsia="仿宋_GB2312" w:cs="Times New Roman"/>
          <w:b/>
          <w:bCs/>
          <w:color w:val="000000" w:themeColor="text1"/>
          <w:lang w:eastAsia="zh-CN"/>
          <w14:textFill>
            <w14:solidFill>
              <w14:schemeClr w14:val="tx1"/>
            </w14:solidFill>
          </w14:textFill>
        </w:rPr>
        <w:t xml:space="preserve"> 三亚市</w:t>
      </w:r>
      <w:r>
        <w:rPr>
          <w:rFonts w:hint="default" w:ascii="Times New Roman" w:hAnsi="Times New Roman" w:eastAsia="仿宋_GB2312" w:cs="Times New Roman"/>
          <w:b/>
          <w:bCs/>
          <w:color w:val="000000" w:themeColor="text1"/>
          <w:lang w:val="en-US" w:eastAsia="zh-CN"/>
          <w14:textFill>
            <w14:solidFill>
              <w14:schemeClr w14:val="tx1"/>
            </w14:solidFill>
          </w14:textFill>
        </w:rPr>
        <w:t>2019~2023年</w:t>
      </w:r>
      <w:r>
        <w:rPr>
          <w:rFonts w:hint="default" w:ascii="Times New Roman" w:hAnsi="Times New Roman" w:eastAsia="仿宋_GB2312" w:cs="Times New Roman"/>
          <w:b/>
          <w:bCs/>
          <w:color w:val="000000" w:themeColor="text1"/>
          <w:lang w:eastAsia="zh-CN"/>
          <w14:textFill>
            <w14:solidFill>
              <w14:schemeClr w14:val="tx1"/>
            </w14:solidFill>
          </w14:textFill>
        </w:rPr>
        <w:t>装配式建筑发展数据统计</w:t>
      </w:r>
      <w:r>
        <w:rPr>
          <w:rFonts w:hint="default" w:ascii="Times New Roman" w:hAnsi="Times New Roman" w:eastAsia="仿宋_GB2312" w:cs="Times New Roman"/>
          <w:b/>
          <w:bCs/>
          <w:color w:val="000000" w:themeColor="text1"/>
          <w:lang w:val="en-US" w:eastAsia="zh-CN"/>
          <w14:textFill>
            <w14:solidFill>
              <w14:schemeClr w14:val="tx1"/>
            </w14:solidFill>
          </w14:textFill>
        </w:rPr>
        <w:t>图</w:t>
      </w:r>
    </w:p>
    <w:p>
      <w:pPr>
        <w:rPr>
          <w:rFonts w:hint="default" w:ascii="Times New Roman" w:hAnsi="Times New Roman" w:cs="Times New Roman"/>
          <w:lang w:eastAsia="zh-CN"/>
        </w:rPr>
      </w:pP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57" w:name="_Toc10278"/>
      <w:bookmarkStart w:id="58" w:name="_Toc11895"/>
      <w:r>
        <w:rPr>
          <w:rFonts w:hint="eastAsia" w:ascii="楷体_GB2312" w:hAnsi="楷体_GB2312" w:eastAsia="楷体_GB2312" w:cs="楷体_GB2312"/>
          <w:color w:val="000000" w:themeColor="text1"/>
          <w:sz w:val="32"/>
          <w:szCs w:val="32"/>
          <w:lang w:eastAsia="zh-CN"/>
          <w14:textFill>
            <w14:solidFill>
              <w14:schemeClr w14:val="tx1"/>
            </w14:solidFill>
          </w14:textFill>
        </w:rPr>
        <w:t>（三）优势和存在问题的分析</w:t>
      </w:r>
      <w:bookmarkEnd w:id="57"/>
      <w:bookmarkEnd w:id="58"/>
    </w:p>
    <w:bookmarkEnd w:id="43"/>
    <w:p>
      <w:pPr>
        <w:widowControl w:val="0"/>
        <w:spacing w:line="56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59" w:name="_Toc32582"/>
      <w:bookmarkStart w:id="60" w:name="_Toc32217"/>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1.发展优势</w:t>
      </w:r>
      <w:bookmarkEnd w:id="59"/>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分析</w:t>
      </w:r>
      <w:bookmarkEnd w:id="60"/>
    </w:p>
    <w:p>
      <w:pPr>
        <w:spacing w:line="560" w:lineRule="exact"/>
        <w:ind w:firstLine="643" w:firstLineChars="20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lang w:eastAsia="zh-CN"/>
          <w14:textFill>
            <w14:solidFill>
              <w14:schemeClr w14:val="tx1"/>
            </w14:solidFill>
          </w14:textFill>
        </w:rPr>
        <w:t>政策支持：</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海南省大力推动绿色建筑、装配式建筑高质量发展，以《海南省绿色建筑发展条例》为法律基石，已构建</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起较为完善的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绿色建筑、装配式建筑全过程监管体系，</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陆续出台针对性、落地性强，激励引导效果好的扶持措施。三亚市积极落实海南省政策要求，结合本市实际制定规划文件、监管制度、落实方案，在绿色建筑、装配式建筑高质量发展上持续给予政策支持。</w:t>
      </w:r>
    </w:p>
    <w:p>
      <w:pPr>
        <w:spacing w:line="560" w:lineRule="exact"/>
        <w:ind w:firstLine="643" w:firstLineChars="20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lang w:eastAsia="zh-CN"/>
          <w14:textFill>
            <w14:solidFill>
              <w14:schemeClr w14:val="tx1"/>
            </w14:solidFill>
          </w14:textFill>
        </w:rPr>
        <w:t>区位优势：</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三亚市是海南省南部经济、产业中心，也是《海南省装配式建筑产业发展规划（2022~2030）》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中规划的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两个</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装配式建筑</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产业发展引领城市之一，发展绿色建筑、装配式建筑的辐射和示范效应显著，区位优势明显。三亚市拥有得天独厚的自然风光和丰富旅游资源，为绿色建筑发展提供丰富文化元素和设计灵感，探索绿色建筑、装配式建筑、超低能耗建筑与城市风貌的融合设计建造，不仅有助于提升城市旅游形象，还可为游客提供更加健康、舒适、环保的住宿和休闲环境，提升城市吸引力。</w:t>
      </w:r>
    </w:p>
    <w:p>
      <w:pPr>
        <w:spacing w:line="560" w:lineRule="exact"/>
        <w:ind w:firstLine="643" w:firstLineChars="20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lang w:eastAsia="zh-CN"/>
          <w14:textFill>
            <w14:solidFill>
              <w14:schemeClr w14:val="tx1"/>
            </w14:solidFill>
          </w14:textFill>
        </w:rPr>
        <w:t>产业基础：</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三亚市拥有较为完善的建筑产业链，包括建筑设计、施工、建材供应</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等环节，已入驻一批在绿色建筑和装配式建筑领域具有较强研发能力的科</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研院所和企业，为绿色建筑发展提供坚实的产业技术支撑。随着公众环保意识的提高和市场对绿色建筑尤其是高品质高星级绿色建筑的需求增加，三亚市绿色建筑、装配式建筑、超低能耗建筑市场将稳步扩大，为绿色建筑发展提供广阔市场空间。绿色建筑、装配式建筑产业发展基础良好，前景广阔。</w:t>
      </w:r>
    </w:p>
    <w:p>
      <w:pPr>
        <w:widowControl w:val="0"/>
        <w:spacing w:line="56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61" w:name="_Toc3767"/>
      <w:bookmarkStart w:id="62" w:name="_Toc28569"/>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2.存在问题</w:t>
      </w:r>
      <w:bookmarkEnd w:id="61"/>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分析</w:t>
      </w:r>
      <w:bookmarkEnd w:id="62"/>
    </w:p>
    <w:p>
      <w:pPr>
        <w:spacing w:line="560" w:lineRule="exact"/>
        <w:ind w:firstLine="643"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63" w:name="_Toc161324578"/>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缺乏有效激励机制</w:t>
      </w:r>
      <w:bookmarkEnd w:id="63"/>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目前三亚市绿色低碳建筑发展虽然走在全省前列，但激励机制过于单一，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主要依靠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府层面引导，无法有效满足参建各方的多样化的需求。根据调研，北京、深圳等市在推广绿色建筑过程中多采用财政奖励，三亚市未能有效借鉴先进省市推广经验，未针对建设各方建立行之有效的政策激励机制，现有激励政策成效不够显著，难以激发各参建单位建设高质量绿色低碳建筑的积极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海南省绿色建筑发展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条例》鼓励建设单位在项目施工图设计文件完成后开展绿色建筑等级预评价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但自发申请的项目少，多数项目在竣工验收阶段才开始申请绿色建筑预评价，时序缺乏合理性。</w:t>
      </w:r>
    </w:p>
    <w:p>
      <w:pPr>
        <w:spacing w:line="560" w:lineRule="exact"/>
        <w:ind w:firstLine="643"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64" w:name="_Toc161324579"/>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能力建设有待加强</w:t>
      </w:r>
      <w:bookmarkEnd w:id="64"/>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绿色低碳建筑推广过程中，相关政策、科研课题、全过程管理办法等均有待加强。《海南省绿色建筑发展条例》执行力度全市不统一，适应热带海岛气候的绿色低碳建筑相关科研课题研究较少，绿色低碳建筑发展路径不清晰。绿色建筑设计、施工、验收及认证各环节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技术或流程指引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发布较晚，对发布之前的绿色建筑项目发展指导性不强。缺乏绿色建筑全过程管理办法，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缺少绿色建筑运行指标数据统计监管制度，在竣工验收后的运营阶段监管缺少抓手。部分简化施工图审查程序的项目、区域，绿色建筑监管力度和能力有待加强。</w:t>
      </w:r>
    </w:p>
    <w:p>
      <w:pPr>
        <w:spacing w:line="560" w:lineRule="exact"/>
        <w:ind w:firstLine="643"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sectPr>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65" w:name="_Toc161324580"/>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发展质量有待提升</w:t>
      </w:r>
      <w:bookmarkEnd w:id="65"/>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三亚市绿色建筑、装配式建筑虽然已呈规模化发展之势，但是至今未建成近零能耗示范建筑、零碳示范园区等示范项目。三亚市要打造绿色低碳全省标杆，要先在全省领跑，绿色低碳发展存在重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的问题。全省的优秀示范项目基本位于海口、琼海、文昌等，三亚市具有示范意义的低碳、零碳项目为零。既有建筑节能改造机制不健全，未能有效促进既有建筑节能绿色改造高质量发展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pPr>
        <w:adjustRightInd w:val="0"/>
        <w:spacing w:line="560" w:lineRule="exact"/>
        <w:jc w:val="center"/>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66" w:name="_Toc3830"/>
      <w:bookmarkStart w:id="67" w:name="_Toc30720"/>
      <w:r>
        <w:rPr>
          <w:rFonts w:hint="default" w:ascii="Times New Roman" w:hAnsi="Times New Roman" w:eastAsia="黑体" w:cs="Times New Roman"/>
          <w:color w:val="000000" w:themeColor="text1"/>
          <w:sz w:val="44"/>
          <w:szCs w:val="44"/>
          <w:lang w:eastAsia="zh-CN"/>
          <w14:textFill>
            <w14:solidFill>
              <w14:schemeClr w14:val="tx1"/>
            </w14:solidFill>
          </w14:textFill>
        </w:rPr>
        <w:t>第三章  总体思路和发展目标</w:t>
      </w:r>
      <w:bookmarkEnd w:id="66"/>
      <w:bookmarkEnd w:id="67"/>
    </w:p>
    <w:p>
      <w:pPr>
        <w:adjustRightInd w:val="0"/>
        <w:spacing w:line="560" w:lineRule="exact"/>
        <w:ind w:firstLine="600" w:firstLineChars="200"/>
        <w:jc w:val="both"/>
        <w:outlineLvl w:val="1"/>
        <w:rPr>
          <w:rFonts w:hint="default" w:ascii="Times New Roman" w:hAnsi="Times New Roman" w:eastAsia="楷体" w:cs="Times New Roman"/>
          <w:color w:val="000000" w:themeColor="text1"/>
          <w:sz w:val="30"/>
          <w:szCs w:val="30"/>
          <w:lang w:eastAsia="zh-CN"/>
          <w14:textFill>
            <w14:solidFill>
              <w14:schemeClr w14:val="tx1"/>
            </w14:solidFill>
          </w14:textFill>
        </w:rPr>
      </w:pPr>
      <w:bookmarkStart w:id="68" w:name="_Toc9714"/>
      <w:bookmarkStart w:id="69" w:name="_Toc25411"/>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（一）指导思想</w:t>
      </w:r>
      <w:bookmarkEnd w:id="68"/>
      <w:bookmarkEnd w:id="69"/>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贯彻落实以习近平同志为核心的党中央统筹国内国际两个大局作出的实现碳达峰、碳中和的重大战略决策，以解决资源环境约束突出问题、实现中华民族永续发展、构建人类命运共同体为目标，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助力建设生态一流、绿色低碳的自由贸易港，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落实《海南省装配式建筑（绿色建筑）发展提升三年行动方案（2023-2025）》（以下简称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行动方案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）目标，推进国家生态文明试验区建设。</w:t>
      </w: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70" w:name="_Toc31688"/>
      <w:bookmarkStart w:id="71" w:name="_Toc28547"/>
      <w:r>
        <w:rPr>
          <w:rFonts w:hint="eastAsia" w:ascii="楷体_GB2312" w:hAnsi="楷体_GB2312" w:eastAsia="楷体_GB2312" w:cs="楷体_GB2312"/>
          <w:color w:val="000000" w:themeColor="text1"/>
          <w:sz w:val="32"/>
          <w:szCs w:val="32"/>
          <w:lang w:eastAsia="zh-CN"/>
          <w14:textFill>
            <w14:solidFill>
              <w14:schemeClr w14:val="tx1"/>
            </w14:solidFill>
          </w14:textFill>
        </w:rPr>
        <w:t>（二）基本原则</w:t>
      </w:r>
      <w:bookmarkEnd w:id="70"/>
      <w:bookmarkEnd w:id="71"/>
    </w:p>
    <w:p>
      <w:pPr>
        <w:widowControl w:val="0"/>
        <w:spacing w:line="56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72" w:name="_Toc11329"/>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1.因地制宜</w:t>
      </w:r>
      <w:bookmarkEnd w:id="72"/>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立足三亚地形地貌、气候条件等特征，打造具有热带地域特色的绿色建筑。传承和弘扬热带建筑文化，依托热带建筑特有的遮阳、隔热、通风等气候适应性技术，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充分挖掘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乡土生态、适宜技术、低成本的被动式节能方式，实现现代绿色建筑需求，推动城市可持续发展。</w:t>
      </w:r>
    </w:p>
    <w:p>
      <w:pPr>
        <w:widowControl w:val="0"/>
        <w:spacing w:line="560" w:lineRule="exact"/>
        <w:ind w:firstLine="640" w:firstLineChars="200"/>
        <w:jc w:val="both"/>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73" w:name="_Toc20975"/>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2.分区推进</w:t>
      </w:r>
      <w:bookmarkEnd w:id="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依据三亚市各辖区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经济社会发展水平、自然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条件、建筑特点等因素，因地制宜制定发展目标和实施路径。结合三亚市实际情况划定重点发展区域，做到统筹安排、合理布局、分步实施、有序推进，确保本规划的实施落地。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pPr>
      <w:bookmarkStart w:id="74" w:name="_Toc3079"/>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3.新旧兼顾</w:t>
      </w:r>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践行绿色生态理念，统筹建筑增量控制与存量优化，把绿色建筑发展、既有建筑节能绿色化改造作为新时期三亚市节能减碳、推动建筑领域向纵深发展的双轮驱动力。新建民用建筑全面执行绿色建筑标准，鼓励既有建筑改造达到绿色建筑标准要求，引导当前改造模式从单一点状向多点合力转变。</w:t>
      </w: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75" w:name="_Toc11012"/>
      <w:bookmarkStart w:id="76" w:name="_Toc9783"/>
      <w:r>
        <w:rPr>
          <w:rFonts w:hint="eastAsia" w:ascii="楷体_GB2312" w:hAnsi="楷体_GB2312" w:eastAsia="楷体_GB2312" w:cs="楷体_GB2312"/>
          <w:color w:val="000000" w:themeColor="text1"/>
          <w:sz w:val="32"/>
          <w:szCs w:val="32"/>
          <w:lang w:eastAsia="zh-CN"/>
          <w14:textFill>
            <w14:solidFill>
              <w14:schemeClr w14:val="tx1"/>
            </w14:solidFill>
          </w14:textFill>
        </w:rPr>
        <w:t>（三）发展定位</w:t>
      </w:r>
      <w:bookmarkEnd w:id="75"/>
      <w:bookmarkEnd w:id="76"/>
    </w:p>
    <w:p>
      <w:pPr>
        <w:spacing w:line="560" w:lineRule="exact"/>
        <w:ind w:firstLine="64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规划围绕提高绿色建筑发展质量、推进既有建筑节能改造、稳步推进装配式建筑、积极推广可再生能源应用和促进建筑领域碳达峰碳中和等方面展开，通过政策支持、加强监管、人才引进和培育、积极宣传等措施，推动绿色建筑在三亚市的广泛应用和发展，打造海南省绿色低碳建筑标杆，实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碳达峰、碳中和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，提升人民群众居住品质，支持三亚打造成为世界级滨海旅游城市，宜居宜业的民生幸福城市。</w:t>
      </w:r>
    </w:p>
    <w:p>
      <w:pPr>
        <w:spacing w:line="560" w:lineRule="exact"/>
        <w:ind w:firstLine="560" w:firstLineChars="200"/>
        <w:rPr>
          <w:rFonts w:hint="default" w:ascii="Times New Roman" w:hAnsi="Times New Roman" w:eastAsia="仿宋_GB2312" w:cs="Times New Roman"/>
          <w:color w:val="000000" w:themeColor="text1"/>
          <w:sz w:val="28"/>
          <w:szCs w:val="28"/>
          <w:lang w:eastAsia="zh-CN" w:bidi="ar"/>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bidi="ar"/>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1413510</wp:posOffset>
            </wp:positionH>
            <wp:positionV relativeFrom="paragraph">
              <wp:posOffset>-317500</wp:posOffset>
            </wp:positionV>
            <wp:extent cx="10334625" cy="7656830"/>
            <wp:effectExtent l="0" t="0" r="9525" b="1270"/>
            <wp:wrapTopAndBottom/>
            <wp:docPr id="6" name="图片 6" descr="ae7140e91c806af0ff723ab76cfd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e7140e91c806af0ff723ab76cfd63d"/>
                    <pic:cNvPicPr>
                      <a:picLocks noChangeAspect="1"/>
                    </pic:cNvPicPr>
                  </pic:nvPicPr>
                  <pic:blipFill>
                    <a:blip r:embed="rId14"/>
                    <a:stretch>
                      <a:fillRect/>
                    </a:stretch>
                  </pic:blipFill>
                  <pic:spPr>
                    <a:xfrm>
                      <a:off x="0" y="0"/>
                      <a:ext cx="10334625" cy="7656830"/>
                    </a:xfrm>
                    <a:prstGeom prst="rect">
                      <a:avLst/>
                    </a:prstGeom>
                  </pic:spPr>
                </pic:pic>
              </a:graphicData>
            </a:graphic>
          </wp:anchor>
        </w:drawing>
      </w:r>
    </w:p>
    <w:p>
      <w:pPr>
        <w:rPr>
          <w:rFonts w:hint="default" w:ascii="Times New Roman" w:hAnsi="Times New Roman" w:eastAsia="仿宋_GB2312" w:cs="Times New Roman"/>
          <w:color w:val="000000" w:themeColor="text1"/>
          <w:lang w:eastAsia="zh-CN"/>
          <w14:textFill>
            <w14:solidFill>
              <w14:schemeClr w14:val="tx1"/>
            </w14:solidFill>
          </w14:textFill>
        </w:rPr>
      </w:pPr>
    </w:p>
    <w:p>
      <w:pPr>
        <w:pStyle w:val="15"/>
        <w:spacing w:line="560" w:lineRule="exact"/>
        <w:ind w:firstLine="0" w:firstLineChars="0"/>
        <w:jc w:val="center"/>
        <w:rPr>
          <w:rFonts w:hint="default" w:ascii="Times New Roman" w:hAnsi="Times New Roman" w:eastAsia="仿宋_GB2312" w:cs="Times New Roman"/>
          <w:b/>
          <w:color w:val="000000" w:themeColor="text1"/>
          <w:lang w:eastAsia="zh-CN"/>
          <w14:textFill>
            <w14:solidFill>
              <w14:schemeClr w14:val="tx1"/>
            </w14:solidFill>
          </w14:textFill>
        </w:rPr>
      </w:pPr>
      <w:r>
        <w:rPr>
          <w:rFonts w:hint="default" w:ascii="Times New Roman" w:hAnsi="Times New Roman" w:eastAsia="仿宋_GB2312" w:cs="Times New Roman"/>
          <w:b/>
          <w:color w:val="000000" w:themeColor="text1"/>
          <w:lang w:eastAsia="zh-CN"/>
          <w14:textFill>
            <w14:solidFill>
              <w14:schemeClr w14:val="tx1"/>
            </w14:solidFill>
          </w14:textFill>
        </w:rPr>
        <w:t>图</w:t>
      </w:r>
      <w:r>
        <w:rPr>
          <w:rFonts w:hint="default" w:ascii="Times New Roman" w:hAnsi="Times New Roman" w:eastAsia="仿宋_GB2312" w:cs="Times New Roman"/>
          <w:b/>
          <w:color w:val="000000" w:themeColor="text1"/>
          <w:lang w:val="en-US" w:eastAsia="zh-CN"/>
          <w14:textFill>
            <w14:solidFill>
              <w14:schemeClr w14:val="tx1"/>
            </w14:solidFill>
          </w14:textFill>
        </w:rPr>
        <w:t xml:space="preserve">4 </w:t>
      </w:r>
      <w:r>
        <w:rPr>
          <w:rFonts w:hint="default" w:ascii="Times New Roman" w:hAnsi="Times New Roman" w:eastAsia="仿宋_GB2312" w:cs="Times New Roman"/>
          <w:b/>
          <w:color w:val="000000" w:themeColor="text1"/>
          <w:lang w:eastAsia="zh-CN"/>
          <w14:textFill>
            <w14:solidFill>
              <w14:schemeClr w14:val="tx1"/>
            </w14:solidFill>
          </w14:textFill>
        </w:rPr>
        <w:t xml:space="preserve"> 三亚市绿色建筑专项规划发展分析图</w:t>
      </w:r>
    </w:p>
    <w:p>
      <w:pPr>
        <w:adjustRightInd w:val="0"/>
        <w:spacing w:line="560" w:lineRule="exact"/>
        <w:ind w:firstLine="600" w:firstLineChars="200"/>
        <w:jc w:val="both"/>
        <w:outlineLvl w:val="1"/>
        <w:rPr>
          <w:rFonts w:hint="default" w:ascii="Times New Roman" w:hAnsi="Times New Roman" w:eastAsia="楷体" w:cs="Times New Roman"/>
          <w:color w:val="000000" w:themeColor="text1"/>
          <w:sz w:val="30"/>
          <w:szCs w:val="30"/>
          <w:lang w:eastAsia="zh-CN"/>
          <w14:textFill>
            <w14:solidFill>
              <w14:schemeClr w14:val="tx1"/>
            </w14:solidFill>
          </w14:textFill>
        </w:rPr>
        <w:sectPr>
          <w:pgSz w:w="23811" w:h="16838"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77" w:name="_Toc14896"/>
      <w:bookmarkStart w:id="78" w:name="_Toc14335"/>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）规划目标</w:t>
      </w:r>
      <w:bookmarkEnd w:id="77"/>
      <w:bookmarkEnd w:id="78"/>
    </w:p>
    <w:p>
      <w:pPr>
        <w:spacing w:line="560" w:lineRule="exact"/>
        <w:ind w:firstLine="640" w:firstLineChars="20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79" w:name="_Toc3187"/>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1.总体目标</w:t>
      </w:r>
      <w:bookmarkEnd w:id="79"/>
    </w:p>
    <w:p>
      <w:pPr>
        <w:adjustRightInd w:val="0"/>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巩固和发展三亚市绿色建筑发展过程中所取得的工作成果，以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碳达峰、碳中和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为目标导向，重点推进绿色建筑、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既有建筑节能改造、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装配式建筑、可再生能源应用和建筑碳排放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大发展任务，促进建筑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低碳化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，实现三亚市在绿色低碳建筑工作中走在全省前列，打造海南省绿色低碳建筑标杆，人民群众生产生活空间更加宜居。</w:t>
      </w:r>
    </w:p>
    <w:p>
      <w:pPr>
        <w:tabs>
          <w:tab w:val="left" w:pos="3967"/>
        </w:tabs>
        <w:spacing w:line="560" w:lineRule="exact"/>
        <w:ind w:firstLine="640" w:firstLineChars="20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80" w:name="_Toc2503"/>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2.主要发展指标</w:t>
      </w:r>
      <w:bookmarkEnd w:id="80"/>
    </w:p>
    <w:p>
      <w:pPr>
        <w:adjustRightInd/>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城镇新建民用建筑全面执行绿色建筑标准，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区域、省市重点建设项目率先完成星级绿色建筑建设目标，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打造不低于2个近零能耗示范项目、1个零碳示范园区。各组团区域同步开展高星级绿色建筑、超低能耗建筑试点示范，带动单元片区绿色低碳发展。建筑能效水平稳步提升，建筑能耗和碳排放增长趋势得到有序控制，绿色低碳发展模式基本形成。</w:t>
      </w:r>
    </w:p>
    <w:p>
      <w:pPr>
        <w:adjustRightInd w:val="0"/>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域等重点区域逐步实现高星级绿色建筑全域示范，超低能耗建筑规模化发展，近零能耗建筑示范效应进一步增强。建筑能效水平进一步提升，建筑能耗和碳排放增长趋势有效控制，热带海岛特色更加突出，绿色低碳发展模式初步形成。</w:t>
      </w:r>
    </w:p>
    <w:p>
      <w:pPr>
        <w:spacing w:line="560" w:lineRule="exact"/>
        <w:ind w:firstLine="64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规划从全面推广绿色建筑、持续推进既有建筑改造、大力发展装配式建筑、推动超低能耗建筑、可再生能源建筑应用、促进建筑领域碳达峰碳中和五个方面制定13项发展指标（见表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60" w:lineRule="exact"/>
        <w:jc w:val="cente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t>表5  三亚市民用建筑绿色规划核心指标表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1524"/>
        <w:gridCol w:w="2876"/>
        <w:gridCol w:w="1350"/>
        <w:gridCol w:w="1350"/>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kern w:val="2"/>
                <w14:textFill>
                  <w14:solidFill>
                    <w14:schemeClr w14:val="tx1"/>
                  </w14:solidFill>
                </w14:textFill>
              </w:rPr>
            </w:pPr>
            <w:r>
              <w:rPr>
                <w:rFonts w:hint="default" w:ascii="Times New Roman" w:hAnsi="Times New Roman" w:eastAsia="楷体" w:cs="Times New Roman"/>
                <w:bCs/>
                <w:color w:val="000000" w:themeColor="text1"/>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目标项</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kern w:val="2"/>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主要指标项</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2025年</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2028年</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kern w:val="2"/>
                <w14:textFill>
                  <w14:solidFill>
                    <w14:schemeClr w14:val="tx1"/>
                  </w14:solidFill>
                </w14:textFill>
              </w:rPr>
            </w:pPr>
            <w:r>
              <w:rPr>
                <w:rFonts w:hint="default" w:ascii="Times New Roman" w:hAnsi="Times New Roman" w:eastAsia="楷体" w:cs="Times New Roman"/>
                <w:bCs/>
                <w:color w:val="000000" w:themeColor="text1"/>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01</w:t>
            </w:r>
          </w:p>
        </w:tc>
        <w:tc>
          <w:tcPr>
            <w:tcW w:w="0" w:type="auto"/>
            <w:vMerge w:val="restart"/>
            <w:tcBorders>
              <w:top w:val="single" w:color="auto" w:sz="4" w:space="0"/>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提高绿色建筑发展质量</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城镇新建建筑中绿色建筑面积占比</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100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100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02</w:t>
            </w:r>
          </w:p>
        </w:tc>
        <w:tc>
          <w:tcPr>
            <w:tcW w:w="0" w:type="auto"/>
            <w:vMerge w:val="continue"/>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一星级及以上绿色建筑占城镇新建建筑的比例</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w:t>
            </w:r>
            <w:r>
              <w:rPr>
                <w:rFonts w:hint="default" w:ascii="Times New Roman" w:hAnsi="Times New Roman" w:eastAsia="楷体" w:cs="Times New Roman"/>
                <w:bCs/>
                <w:color w:val="000000" w:themeColor="text1"/>
                <w:lang w:val="en-US" w:eastAsia="zh-CN"/>
                <w14:textFill>
                  <w14:solidFill>
                    <w14:schemeClr w14:val="tx1"/>
                  </w14:solidFill>
                </w14:textFill>
              </w:rPr>
              <w:t>30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≥35</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03</w:t>
            </w:r>
          </w:p>
        </w:tc>
        <w:tc>
          <w:tcPr>
            <w:tcW w:w="0" w:type="auto"/>
            <w:vMerge w:val="continue"/>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高星级绿色建筑占城镇新建建筑的比例</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≥5</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≥7</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04</w:t>
            </w:r>
          </w:p>
        </w:tc>
        <w:tc>
          <w:tcPr>
            <w:tcW w:w="0" w:type="auto"/>
            <w:vMerge w:val="continue"/>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一星级绿色建材应用比例</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≥30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≥30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05</w:t>
            </w:r>
          </w:p>
        </w:tc>
        <w:tc>
          <w:tcPr>
            <w:tcW w:w="0" w:type="auto"/>
            <w:vMerge w:val="continue"/>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高星级绿色建材应用比例</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≥40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≥40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06</w:t>
            </w:r>
          </w:p>
        </w:tc>
        <w:tc>
          <w:tcPr>
            <w:tcW w:w="0" w:type="auto"/>
            <w:tcBorders>
              <w:left w:val="single" w:color="auto" w:sz="4" w:space="0"/>
              <w:bottom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推进既有建筑节能改造</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既有民用建筑绿色化改造累计面积</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val="en-US" w:eastAsia="zh-CN"/>
                <w14:textFill>
                  <w14:solidFill>
                    <w14:schemeClr w14:val="tx1"/>
                  </w14:solidFill>
                </w14:textFill>
              </w:rPr>
              <w:t>22</w:t>
            </w:r>
            <w:r>
              <w:rPr>
                <w:rFonts w:hint="default" w:ascii="Times New Roman" w:hAnsi="Times New Roman" w:eastAsia="楷体" w:cs="Times New Roman"/>
                <w:bCs/>
                <w:color w:val="000000" w:themeColor="text1"/>
                <w:lang w:eastAsia="zh-CN"/>
                <w14:textFill>
                  <w14:solidFill>
                    <w14:schemeClr w14:val="tx1"/>
                  </w14:solidFill>
                </w14:textFill>
              </w:rPr>
              <w:t>0000平方</w:t>
            </w:r>
            <w:r>
              <w:rPr>
                <w:rFonts w:hint="default" w:ascii="Times New Roman" w:hAnsi="Times New Roman" w:eastAsia="楷体" w:cs="Times New Roman"/>
                <w:bCs/>
                <w:color w:val="000000" w:themeColor="text1"/>
                <w14:textFill>
                  <w14:solidFill>
                    <w14:schemeClr w14:val="tx1"/>
                  </w14:solidFill>
                </w14:textFill>
              </w:rPr>
              <w:t>米</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val="en-US" w:eastAsia="zh-CN"/>
                <w14:textFill>
                  <w14:solidFill>
                    <w14:schemeClr w14:val="tx1"/>
                  </w14:solidFill>
                </w14:textFill>
              </w:rPr>
              <w:t>500</w:t>
            </w:r>
            <w:r>
              <w:rPr>
                <w:rFonts w:hint="default" w:ascii="Times New Roman" w:hAnsi="Times New Roman" w:eastAsia="楷体" w:cs="Times New Roman"/>
                <w:bCs/>
                <w:color w:val="000000" w:themeColor="text1"/>
                <w:lang w:eastAsia="zh-CN"/>
                <w14:textFill>
                  <w14:solidFill>
                    <w14:schemeClr w14:val="tx1"/>
                  </w14:solidFill>
                </w14:textFill>
              </w:rPr>
              <w:t>000平方</w:t>
            </w:r>
            <w:r>
              <w:rPr>
                <w:rFonts w:hint="default" w:ascii="Times New Roman" w:hAnsi="Times New Roman" w:eastAsia="楷体" w:cs="Times New Roman"/>
                <w:bCs/>
                <w:color w:val="000000" w:themeColor="text1"/>
                <w14:textFill>
                  <w14:solidFill>
                    <w14:schemeClr w14:val="tx1"/>
                  </w14:solidFill>
                </w14:textFill>
              </w:rPr>
              <w:t>米</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07</w:t>
            </w:r>
          </w:p>
        </w:tc>
        <w:tc>
          <w:tcPr>
            <w:tcW w:w="0" w:type="auto"/>
            <w:vMerge w:val="restart"/>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稳步推进装配式建筑</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城镇新建建筑中装配式建筑面积占比</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80</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85</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0</w:t>
            </w:r>
            <w:r>
              <w:rPr>
                <w:rFonts w:hint="default" w:ascii="Times New Roman" w:hAnsi="Times New Roman" w:eastAsia="楷体" w:cs="Times New Roman"/>
                <w:bCs/>
                <w:color w:val="000000" w:themeColor="text1"/>
                <w:lang w:val="en-US" w:eastAsia="zh-CN"/>
                <w14:textFill>
                  <w14:solidFill>
                    <w14:schemeClr w14:val="tx1"/>
                  </w14:solidFill>
                </w14:textFill>
              </w:rPr>
              <w:t>8</w:t>
            </w:r>
          </w:p>
        </w:tc>
        <w:tc>
          <w:tcPr>
            <w:tcW w:w="0" w:type="auto"/>
            <w:vMerge w:val="continue"/>
            <w:tcBorders>
              <w:left w:val="single" w:color="auto" w:sz="4" w:space="0"/>
              <w:bottom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装配式建筑中装配式钢结构建筑面积占比</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5</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8</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val="en-US" w:eastAsia="zh-CN"/>
                <w14:textFill>
                  <w14:solidFill>
                    <w14:schemeClr w14:val="tx1"/>
                  </w14:solidFill>
                </w14:textFill>
              </w:rPr>
            </w:pPr>
            <w:r>
              <w:rPr>
                <w:rFonts w:hint="default" w:ascii="Times New Roman" w:hAnsi="Times New Roman" w:eastAsia="楷体" w:cs="Times New Roman"/>
                <w:bCs/>
                <w:color w:val="000000" w:themeColor="text1"/>
                <w:lang w:val="en-US" w:eastAsia="zh-CN"/>
                <w14:textFill>
                  <w14:solidFill>
                    <w14:schemeClr w14:val="tx1"/>
                  </w14:solidFill>
                </w14:textFill>
              </w:rPr>
              <w:t>09</w:t>
            </w:r>
          </w:p>
        </w:tc>
        <w:tc>
          <w:tcPr>
            <w:tcW w:w="0" w:type="auto"/>
            <w:tcBorders>
              <w:left w:val="single" w:color="auto" w:sz="4" w:space="0"/>
              <w:bottom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积极推广可再生能源应用</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可再生能源利用率</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5</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w:t>
            </w:r>
            <w:r>
              <w:rPr>
                <w:rFonts w:hint="default" w:ascii="Times New Roman" w:hAnsi="Times New Roman" w:eastAsia="楷体" w:cs="Times New Roman"/>
                <w:bCs/>
                <w:color w:val="000000" w:themeColor="text1"/>
                <w:lang w:val="en-US" w:eastAsia="zh-CN"/>
                <w14:textFill>
                  <w14:solidFill>
                    <w14:schemeClr w14:val="tx1"/>
                  </w14:solidFill>
                </w14:textFill>
              </w:rPr>
              <w:t>0</w:t>
            </w:r>
          </w:p>
        </w:tc>
        <w:tc>
          <w:tcPr>
            <w:tcW w:w="0" w:type="auto"/>
            <w:vMerge w:val="restart"/>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建筑碳排放技术要求</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建筑减碳率</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3</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5</w:t>
            </w:r>
            <w:r>
              <w:rPr>
                <w:rFonts w:hint="default" w:ascii="Times New Roman" w:hAnsi="Times New Roman" w:eastAsia="楷体" w:cs="Times New Roman"/>
                <w:bCs/>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w:t>
            </w:r>
            <w:r>
              <w:rPr>
                <w:rFonts w:hint="default" w:ascii="Times New Roman" w:hAnsi="Times New Roman" w:eastAsia="楷体" w:cs="Times New Roman"/>
                <w:bCs/>
                <w:color w:val="000000" w:themeColor="text1"/>
                <w:lang w:val="en-US" w:eastAsia="zh-CN"/>
                <w14:textFill>
                  <w14:solidFill>
                    <w14:schemeClr w14:val="tx1"/>
                  </w14:solidFill>
                </w14:textFill>
              </w:rPr>
              <w:t>1</w:t>
            </w:r>
          </w:p>
        </w:tc>
        <w:tc>
          <w:tcPr>
            <w:tcW w:w="0" w:type="auto"/>
            <w:vMerge w:val="continue"/>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超低能耗建筑累计面积</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val="en-US" w:eastAsia="zh-CN"/>
                <w14:textFill>
                  <w14:solidFill>
                    <w14:schemeClr w14:val="tx1"/>
                  </w14:solidFill>
                </w14:textFill>
              </w:rPr>
              <w:t>30</w:t>
            </w:r>
            <w:r>
              <w:rPr>
                <w:rFonts w:hint="default" w:ascii="Times New Roman" w:hAnsi="Times New Roman" w:eastAsia="楷体" w:cs="Times New Roman"/>
                <w:bCs/>
                <w:color w:val="000000" w:themeColor="text1"/>
                <w:lang w:eastAsia="zh-CN"/>
                <w14:textFill>
                  <w14:solidFill>
                    <w14:schemeClr w14:val="tx1"/>
                  </w14:solidFill>
                </w14:textFill>
              </w:rPr>
              <w:t>000平方</w:t>
            </w:r>
            <w:r>
              <w:rPr>
                <w:rFonts w:hint="default" w:ascii="Times New Roman" w:hAnsi="Times New Roman" w:eastAsia="楷体" w:cs="Times New Roman"/>
                <w:bCs/>
                <w:color w:val="000000" w:themeColor="text1"/>
                <w14:textFill>
                  <w14:solidFill>
                    <w14:schemeClr w14:val="tx1"/>
                  </w14:solidFill>
                </w14:textFill>
              </w:rPr>
              <w:t>米</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val="en-US" w:eastAsia="zh-CN"/>
                <w14:textFill>
                  <w14:solidFill>
                    <w14:schemeClr w14:val="tx1"/>
                  </w14:solidFill>
                </w14:textFill>
              </w:rPr>
              <w:t>6</w:t>
            </w:r>
            <w:r>
              <w:rPr>
                <w:rFonts w:hint="default" w:ascii="Times New Roman" w:hAnsi="Times New Roman" w:eastAsia="楷体" w:cs="Times New Roman"/>
                <w:bCs/>
                <w:color w:val="000000" w:themeColor="text1"/>
                <w:lang w:eastAsia="zh-CN"/>
                <w14:textFill>
                  <w14:solidFill>
                    <w14:schemeClr w14:val="tx1"/>
                  </w14:solidFill>
                </w14:textFill>
              </w:rPr>
              <w:t>0000平方</w:t>
            </w:r>
            <w:r>
              <w:rPr>
                <w:rFonts w:hint="default" w:ascii="Times New Roman" w:hAnsi="Times New Roman" w:eastAsia="楷体" w:cs="Times New Roman"/>
                <w:bCs/>
                <w:color w:val="000000" w:themeColor="text1"/>
                <w14:textFill>
                  <w14:solidFill>
                    <w14:schemeClr w14:val="tx1"/>
                  </w14:solidFill>
                </w14:textFill>
              </w:rPr>
              <w:t>米</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w:t>
            </w:r>
            <w:r>
              <w:rPr>
                <w:rFonts w:hint="default" w:ascii="Times New Roman" w:hAnsi="Times New Roman" w:eastAsia="楷体" w:cs="Times New Roman"/>
                <w:bCs/>
                <w:color w:val="000000" w:themeColor="text1"/>
                <w:lang w:val="en-US" w:eastAsia="zh-CN"/>
                <w14:textFill>
                  <w14:solidFill>
                    <w14:schemeClr w14:val="tx1"/>
                  </w14:solidFill>
                </w14:textFill>
              </w:rPr>
              <w:t>2</w:t>
            </w:r>
          </w:p>
        </w:tc>
        <w:tc>
          <w:tcPr>
            <w:tcW w:w="0" w:type="auto"/>
            <w:vMerge w:val="continue"/>
            <w:tcBorders>
              <w:left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低碳/零碳建筑</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2个</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6个</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14:textFill>
                  <w14:solidFill>
                    <w14:schemeClr w14:val="tx1"/>
                  </w14:solidFill>
                </w14:textFill>
              </w:rPr>
            </w:pPr>
            <w:r>
              <w:rPr>
                <w:rFonts w:hint="default" w:ascii="Times New Roman" w:hAnsi="Times New Roman" w:eastAsia="楷体" w:cs="Times New Roman"/>
                <w:bCs/>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w:t>
            </w:r>
            <w:r>
              <w:rPr>
                <w:rFonts w:hint="default" w:ascii="Times New Roman" w:hAnsi="Times New Roman" w:eastAsia="楷体" w:cs="Times New Roman"/>
                <w:bCs/>
                <w:color w:val="000000" w:themeColor="text1"/>
                <w:lang w:val="en-US" w:eastAsia="zh-CN"/>
                <w14:textFill>
                  <w14:solidFill>
                    <w14:schemeClr w14:val="tx1"/>
                  </w14:solidFill>
                </w14:textFill>
              </w:rPr>
              <w:t>3</w:t>
            </w:r>
          </w:p>
        </w:tc>
        <w:tc>
          <w:tcPr>
            <w:tcW w:w="0" w:type="auto"/>
            <w:vMerge w:val="continue"/>
            <w:tcBorders>
              <w:left w:val="single" w:color="auto" w:sz="4" w:space="0"/>
              <w:bottom w:val="single" w:color="auto" w:sz="4" w:space="0"/>
              <w:right w:val="single" w:color="auto" w:sz="4" w:space="0"/>
            </w:tcBorders>
            <w:vAlign w:val="center"/>
          </w:tcPr>
          <w:p>
            <w:pPr>
              <w:widowControl w:val="0"/>
              <w:adjustRightInd w:val="0"/>
              <w:snapToGrid w:val="0"/>
              <w:jc w:val="center"/>
              <w:rPr>
                <w:rFonts w:hint="default" w:ascii="Times New Roman" w:hAnsi="Times New Roman" w:eastAsia="楷体" w:cs="Times New Roman"/>
                <w:bCs/>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低碳/零碳示范园区</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eastAsia="zh-CN"/>
                <w14:textFill>
                  <w14:solidFill>
                    <w14:schemeClr w14:val="tx1"/>
                  </w14:solidFill>
                </w14:textFill>
              </w:rPr>
              <w:t>1个</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lang w:eastAsia="zh-CN"/>
                <w14:textFill>
                  <w14:solidFill>
                    <w14:schemeClr w14:val="tx1"/>
                  </w14:solidFill>
                </w14:textFill>
              </w:rPr>
            </w:pPr>
            <w:r>
              <w:rPr>
                <w:rFonts w:hint="default" w:ascii="Times New Roman" w:hAnsi="Times New Roman" w:eastAsia="楷体" w:cs="Times New Roman"/>
                <w:bCs/>
                <w:color w:val="000000" w:themeColor="text1"/>
                <w:lang w:val="en-US" w:eastAsia="zh-CN"/>
                <w14:textFill>
                  <w14:solidFill>
                    <w14:schemeClr w14:val="tx1"/>
                  </w14:solidFill>
                </w14:textFill>
              </w:rPr>
              <w:t>2</w:t>
            </w:r>
            <w:r>
              <w:rPr>
                <w:rFonts w:hint="default" w:ascii="Times New Roman" w:hAnsi="Times New Roman" w:eastAsia="楷体" w:cs="Times New Roman"/>
                <w:bCs/>
                <w:color w:val="000000" w:themeColor="text1"/>
                <w:lang w:eastAsia="zh-CN"/>
                <w14:textFill>
                  <w14:solidFill>
                    <w14:schemeClr w14:val="tx1"/>
                  </w14:solidFill>
                </w14:textFill>
              </w:rPr>
              <w:t>个</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adjustRightInd w:val="0"/>
              <w:snapToGrid w:val="0"/>
              <w:jc w:val="center"/>
              <w:rPr>
                <w:rFonts w:hint="default" w:ascii="Times New Roman" w:hAnsi="Times New Roman" w:eastAsia="楷体" w:cs="Times New Roman"/>
                <w:bCs/>
                <w:color w:val="000000" w:themeColor="text1"/>
                <w14:textFill>
                  <w14:solidFill>
                    <w14:schemeClr w14:val="tx1"/>
                  </w14:solidFill>
                </w14:textFill>
              </w:rPr>
            </w:pPr>
            <w:r>
              <w:rPr>
                <w:rFonts w:hint="default" w:ascii="Times New Roman" w:hAnsi="Times New Roman" w:eastAsia="楷体" w:cs="Times New Roman"/>
                <w:bCs/>
                <w:color w:val="000000" w:themeColor="text1"/>
                <w14:textFill>
                  <w14:solidFill>
                    <w14:schemeClr w14:val="tx1"/>
                  </w14:solidFill>
                </w14:textFill>
              </w:rPr>
              <w:t>预期性</w:t>
            </w:r>
          </w:p>
        </w:tc>
      </w:tr>
    </w:tbl>
    <w:p>
      <w:pP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注：</w:t>
      </w:r>
      <w:r>
        <w:rPr>
          <w:rFonts w:hint="default" w:ascii="Times New Roman" w:hAnsi="Times New Roman" w:eastAsia="仿宋_GB2312" w:cs="Times New Roman"/>
          <w:color w:val="000000" w:themeColor="text1"/>
          <w:lang w:eastAsia="zh-CN"/>
          <w14:textFill>
            <w14:solidFill>
              <w14:schemeClr w14:val="tx1"/>
            </w14:solidFill>
          </w14:textFill>
        </w:rPr>
        <w:t>1.绿色建筑面积占比：不执行《海南省绿色建筑发展条例》要求的项目及其他政策要求不做绿色建筑的项目除外。</w:t>
      </w:r>
    </w:p>
    <w:p>
      <w:pPr>
        <w:rPr>
          <w:rFonts w:hint="default" w:ascii="Times New Roman" w:hAnsi="Times New Roman" w:eastAsia="黑体" w:cs="Times New Roman"/>
          <w:color w:val="000000" w:themeColor="text1"/>
          <w:sz w:val="32"/>
          <w:szCs w:val="32"/>
          <w:lang w:eastAsia="zh-CN"/>
          <w14:textFill>
            <w14:solidFill>
              <w14:schemeClr w14:val="tx1"/>
            </w14:solidFill>
          </w14:textFill>
        </w:rPr>
      </w:pPr>
      <w:bookmarkStart w:id="81" w:name="_Toc31599"/>
      <w:r>
        <w:rPr>
          <w:rFonts w:hint="default" w:ascii="Times New Roman" w:hAnsi="Times New Roman" w:eastAsia="黑体" w:cs="Times New Roman"/>
          <w:color w:val="000000" w:themeColor="text1"/>
          <w:sz w:val="32"/>
          <w:szCs w:val="32"/>
          <w:lang w:eastAsia="zh-CN"/>
          <w14:textFill>
            <w14:solidFill>
              <w14:schemeClr w14:val="tx1"/>
            </w14:solidFill>
          </w14:textFill>
        </w:rPr>
        <w:br w:type="page"/>
      </w:r>
    </w:p>
    <w:p>
      <w:pPr>
        <w:adjustRightInd w:val="0"/>
        <w:spacing w:line="560" w:lineRule="exact"/>
        <w:jc w:val="center"/>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82" w:name="_Toc6946"/>
      <w:r>
        <w:rPr>
          <w:rFonts w:hint="default" w:ascii="Times New Roman" w:hAnsi="Times New Roman" w:eastAsia="黑体" w:cs="Times New Roman"/>
          <w:color w:val="000000" w:themeColor="text1"/>
          <w:sz w:val="44"/>
          <w:szCs w:val="44"/>
          <w:lang w:eastAsia="zh-CN"/>
          <w14:textFill>
            <w14:solidFill>
              <w14:schemeClr w14:val="tx1"/>
            </w14:solidFill>
          </w14:textFill>
        </w:rPr>
        <w:t>第四章  重点任务</w:t>
      </w:r>
      <w:bookmarkEnd w:id="81"/>
      <w:bookmarkEnd w:id="82"/>
    </w:p>
    <w:p>
      <w:pPr>
        <w:adjustRightInd w:val="0"/>
        <w:spacing w:line="560" w:lineRule="exact"/>
        <w:ind w:firstLine="600" w:firstLineChars="200"/>
        <w:jc w:val="both"/>
        <w:outlineLvl w:val="1"/>
        <w:rPr>
          <w:rFonts w:hint="default" w:ascii="Times New Roman" w:hAnsi="Times New Roman" w:eastAsia="楷体" w:cs="Times New Roman"/>
          <w:color w:val="000000" w:themeColor="text1"/>
          <w:sz w:val="30"/>
          <w:szCs w:val="30"/>
          <w:lang w:eastAsia="zh-CN"/>
          <w14:textFill>
            <w14:solidFill>
              <w14:schemeClr w14:val="tx1"/>
            </w14:solidFill>
          </w14:textFill>
        </w:rPr>
      </w:pPr>
      <w:bookmarkStart w:id="83" w:name="_Toc23037"/>
      <w:bookmarkStart w:id="84" w:name="_Toc31864"/>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（一）提高绿色建筑发展质量</w:t>
      </w:r>
      <w:bookmarkEnd w:id="83"/>
      <w:bookmarkEnd w:id="84"/>
      <w:bookmarkStart w:id="85" w:name="_Toc161324589"/>
    </w:p>
    <w:p>
      <w:pPr>
        <w:adjustRightInd w:val="0"/>
        <w:spacing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bookmarkStart w:id="86" w:name="OLE_LINK1"/>
      <w:r>
        <w:rPr>
          <w:rFonts w:hint="default" w:ascii="Times New Roman" w:hAnsi="Times New Roman" w:eastAsia="仿宋_GB2312" w:cs="Times New Roman"/>
          <w:color w:val="000000" w:themeColor="text1"/>
          <w:sz w:val="32"/>
          <w:szCs w:val="32"/>
          <w:lang w:eastAsia="zh-CN"/>
          <w14:textFill>
            <w14:solidFill>
              <w14:schemeClr w14:val="tx1"/>
            </w14:solidFill>
          </w14:textFill>
        </w:rPr>
        <w:t>扩大星级绿色建筑规模。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全市单体建筑面积在2万平方米以上的大型公共建筑，应当按照不低于绿色建筑标准二星级的要求建设。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推动政府和国有资本投资、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区域内单体建筑面积在2万平方米以下，或总建筑面积8万平方米以下的公共建筑，应当按照不低于绿色建筑标准一星级的要求建设。国家机关办公建筑、政府和国有资本投资、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区域内单体建筑面积在2万平方米及以上，或总建筑面积8万平方米以上的公共建筑，应当按照不低于绿色建筑标准二星级的要求建设。城镇新建建筑面积10万平方米以上的住宅小区及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区域内的政府投资的各类安置区、保障性住房，应当满足不低于绿色建筑一星级标</w:t>
      </w:r>
      <w:r>
        <w:rPr>
          <w:rFonts w:hint="default" w:ascii="Times New Roman" w:hAnsi="Times New Roman" w:eastAsia="仿宋_GB2312" w:cs="Times New Roman"/>
          <w:color w:val="auto"/>
          <w:sz w:val="32"/>
          <w:szCs w:val="32"/>
          <w:lang w:eastAsia="zh-CN"/>
        </w:rPr>
        <w:t>准建设。用地面积大于4公顷或地上建筑面积5万平方米以上的住宅小区，应当满足绿色生态小区建设标准。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（责任单位：三亚市政府、市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局、各区政府、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w:t>
      </w:r>
      <w:r>
        <w:rPr>
          <w:rFonts w:hint="default" w:ascii="Times New Roman" w:hAnsi="Times New Roman" w:eastAsia="仿宋_GB2312" w:cs="Times New Roman"/>
          <w:color w:val="auto"/>
          <w:sz w:val="32"/>
          <w:szCs w:val="32"/>
          <w:lang w:eastAsia="zh-CN"/>
        </w:rPr>
        <w:t>业产业园管理委员会）</w:t>
      </w:r>
      <w:bookmarkEnd w:id="86"/>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auto"/>
          <w:sz w:val="32"/>
          <w:szCs w:val="32"/>
          <w:lang w:eastAsia="zh-CN"/>
        </w:rPr>
        <w:t>2.延伸</w:t>
      </w:r>
      <w:r>
        <w:rPr>
          <w:rFonts w:hint="default" w:ascii="Times New Roman" w:hAnsi="Times New Roman" w:eastAsia="仿宋_GB2312" w:cs="Times New Roman"/>
          <w:color w:val="auto"/>
          <w:sz w:val="32"/>
          <w:szCs w:val="32"/>
          <w:lang w:val="en-US" w:eastAsia="zh-CN"/>
        </w:rPr>
        <w:t>绿色建筑</w:t>
      </w:r>
      <w:r>
        <w:rPr>
          <w:rFonts w:hint="default" w:ascii="Times New Roman" w:hAnsi="Times New Roman" w:eastAsia="仿宋_GB2312" w:cs="Times New Roman"/>
          <w:color w:val="auto"/>
          <w:sz w:val="32"/>
          <w:szCs w:val="32"/>
          <w:lang w:eastAsia="zh-CN"/>
        </w:rPr>
        <w:t>建设领域。积极引导全市符合要求的新建住宅小区按照绿色生态小区的标准进行建设，鼓励</w:t>
      </w:r>
      <w:r>
        <w:rPr>
          <w:rFonts w:hint="eastAsia" w:ascii="仿宋_GB2312" w:hAnsi="仿宋_GB2312" w:eastAsia="仿宋_GB2312" w:cs="仿宋_GB2312"/>
          <w:color w:val="auto"/>
          <w:sz w:val="32"/>
          <w:szCs w:val="32"/>
          <w:lang w:eastAsia="zh-CN"/>
        </w:rPr>
        <w:t>在“两核一带”发展区</w:t>
      </w:r>
      <w:r>
        <w:rPr>
          <w:rFonts w:hint="default" w:ascii="Times New Roman" w:hAnsi="Times New Roman" w:eastAsia="仿宋_GB2312" w:cs="Times New Roman"/>
          <w:color w:val="auto"/>
          <w:sz w:val="32"/>
          <w:szCs w:val="32"/>
          <w:lang w:eastAsia="zh-CN"/>
        </w:rPr>
        <w:t>域优先开展绿色生态小区的试点工作，逐步扩大全市绿色生态小区的规模，绿色生态小区的推广建设参照绿色建筑重点任务执行，有条件的区域积极按照绿色生态城区要求建设。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结合美丽乡村建设推动农村建筑绿色技术应用推广，鼓励实施绿色农房建设示范。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3.扩大绿色建材应用规模。结合三亚市的情况制定本市绿色建材推广应用方案</w:t>
      </w:r>
      <w:r>
        <w:rPr>
          <w:rFonts w:hint="default" w:ascii="Times New Roman" w:hAnsi="Times New Roman" w:eastAsia="仿宋_GB2312" w:cs="Times New Roman"/>
          <w:color w:val="FF0000"/>
          <w:sz w:val="32"/>
          <w:szCs w:val="32"/>
          <w:lang w:eastAsia="zh-CN"/>
        </w:rPr>
        <w:t>，辅助制定海南省绿色建材产品目录。鼓励政府投资工程、社会投资的大型公共建筑以及</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lang w:eastAsia="zh-CN"/>
        </w:rPr>
        <w:t>两核</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lang w:eastAsia="zh-CN"/>
        </w:rPr>
        <w:t>区域的项目优先使用绿色建材，提升城镇新建建筑中绿色建材的应用类别和比例。鼓励需要</w:t>
      </w:r>
      <w:r>
        <w:rPr>
          <w:rFonts w:hint="default" w:ascii="Times New Roman" w:hAnsi="Times New Roman" w:eastAsia="仿宋_GB2312" w:cs="Times New Roman"/>
          <w:color w:val="FF0000"/>
          <w:sz w:val="32"/>
          <w:szCs w:val="32"/>
          <w:lang w:val="en-US" w:eastAsia="zh-CN"/>
        </w:rPr>
        <w:t>开展星级</w:t>
      </w:r>
      <w:r>
        <w:rPr>
          <w:rFonts w:hint="default" w:ascii="Times New Roman" w:hAnsi="Times New Roman" w:eastAsia="仿宋_GB2312" w:cs="Times New Roman"/>
          <w:color w:val="FF0000"/>
          <w:sz w:val="32"/>
          <w:szCs w:val="32"/>
          <w:lang w:eastAsia="zh-CN"/>
        </w:rPr>
        <w:t>绿色建筑</w:t>
      </w:r>
      <w:r>
        <w:rPr>
          <w:rFonts w:hint="default" w:ascii="Times New Roman" w:hAnsi="Times New Roman" w:eastAsia="仿宋_GB2312" w:cs="Times New Roman"/>
          <w:color w:val="FF0000"/>
          <w:sz w:val="32"/>
          <w:szCs w:val="32"/>
          <w:lang w:val="en-US" w:eastAsia="zh-CN"/>
        </w:rPr>
        <w:t>设计</w:t>
      </w:r>
      <w:r>
        <w:rPr>
          <w:rFonts w:hint="default" w:ascii="Times New Roman" w:hAnsi="Times New Roman" w:eastAsia="仿宋_GB2312" w:cs="Times New Roman"/>
          <w:color w:val="FF0000"/>
          <w:sz w:val="32"/>
          <w:szCs w:val="32"/>
          <w:lang w:eastAsia="zh-CN"/>
        </w:rPr>
        <w:t>建设的项目优先采用绿色建材，扩大星级绿色建筑项目采用绿色建材的比例。实施政府采购支持绿色建材促进建筑品质提升政策，促进绿色建材规模化规范化应用。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监管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4.强化施工图阶段审查力度。继续推进新建民用建筑按照绿色建筑基本级及以上的标准建设，强化绿色建筑施工图的专项审查力度，按海南省现行绿建政策要求对施工图设计文件中的绿色建筑设计专篇等相关内容展开核查。（责任单位：三亚市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局、各区政府，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5.加强绿色建筑的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施工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运行管理。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施工阶段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落实绿色建筑发展管控要求，完善绿色建筑验收及认定、加强绿色建筑运行管理。推广绿色物业管理模式，将绿色建筑日常运行的相关要求纳入物业管理的内容，提升物业管理企业对绿色建筑运营的管理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水平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健全绿色建筑运行的能耗统计、能耗监测、能效测评和能耗限额管理等制度。探索建立供电、供气、供水等单位定期将绿色建筑的能源和水资源消耗数据共享制度。积极推进绿色建筑的运行评估工作，建立绿色建筑运营后评估反馈机制。开展绿色建筑运行管理能力培训，提升绿色建筑运营水平和质量。（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局、物业协会）</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6.完善绿色建筑标识管理。落实绿色建筑标识管理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法的相关要求，做好一星级绿色建筑标识评价工作和二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星级、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三星级绿色建筑标识的上报工作。</w:t>
      </w:r>
      <w:r>
        <w:rPr>
          <w:rFonts w:hint="default" w:ascii="Times New Roman" w:hAnsi="Times New Roman" w:eastAsia="仿宋_GB2312" w:cs="Times New Roman"/>
          <w:color w:val="0000FF"/>
          <w:sz w:val="32"/>
          <w:szCs w:val="32"/>
          <w:lang w:val="en-US" w:eastAsia="zh-CN"/>
        </w:rPr>
        <w:t>依据《海南省绿色建筑发展条例》规定的应当满足绿色建筑星级要求的项目，应当在竣工验收备案后向市</w:t>
      </w:r>
      <w:r>
        <w:rPr>
          <w:rFonts w:hint="eastAsia" w:ascii="Times New Roman" w:hAnsi="Times New Roman" w:eastAsia="仿宋_GB2312" w:cs="Times New Roman"/>
          <w:color w:val="0000FF"/>
          <w:sz w:val="32"/>
          <w:szCs w:val="32"/>
          <w:lang w:eastAsia="zh-CN"/>
        </w:rPr>
        <w:t>住房城乡建设</w:t>
      </w:r>
      <w:r>
        <w:rPr>
          <w:rFonts w:hint="default" w:ascii="Times New Roman" w:hAnsi="Times New Roman" w:eastAsia="仿宋_GB2312" w:cs="Times New Roman"/>
          <w:color w:val="0000FF"/>
          <w:sz w:val="32"/>
          <w:szCs w:val="32"/>
          <w:lang w:val="en-US" w:eastAsia="zh-CN"/>
        </w:rPr>
        <w:t>局申请绿色建筑评价</w:t>
      </w:r>
      <w:r>
        <w:rPr>
          <w:rFonts w:hint="eastAsia" w:ascii="Times New Roman" w:hAnsi="Times New Roman" w:eastAsia="仿宋_GB2312" w:cs="Times New Roman"/>
          <w:color w:val="0000FF"/>
          <w:sz w:val="32"/>
          <w:szCs w:val="32"/>
          <w:lang w:val="en-US" w:eastAsia="zh-CN"/>
        </w:rPr>
        <w:t>。鼓励其他新建民用建筑</w:t>
      </w:r>
      <w:r>
        <w:rPr>
          <w:rFonts w:hint="default" w:ascii="Times New Roman" w:hAnsi="Times New Roman" w:eastAsia="仿宋_GB2312" w:cs="Times New Roman"/>
          <w:color w:val="0000FF"/>
          <w:sz w:val="32"/>
          <w:szCs w:val="32"/>
          <w:lang w:val="en-US" w:eastAsia="zh-CN"/>
        </w:rPr>
        <w:t>申请绿色建筑评价。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绿色建筑标识认证的信息化管理，对接国家绿色建筑标识管理平台。强化对标识评价申报材料的审核力度以及工作过程的监管力度，不定期地组织专家对获得标识证书的项目进行抽查，按三亚市相关处罚管理办法对有违规行为的单位予以相应的处罚。（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7.试点推广建筑师负责制。</w:t>
      </w:r>
      <w:r>
        <w:rPr>
          <w:rFonts w:hint="default" w:ascii="Times New Roman" w:hAnsi="Times New Roman" w:eastAsia="仿宋_GB2312" w:cs="Times New Roman"/>
          <w:color w:val="FF0000"/>
          <w:sz w:val="32"/>
          <w:szCs w:val="32"/>
          <w:lang w:eastAsia="zh-CN"/>
        </w:rPr>
        <w:t>积极组织符合要求的设计企业</w:t>
      </w:r>
      <w:r>
        <w:rPr>
          <w:rFonts w:hint="eastAsia" w:ascii="Times New Roman" w:hAnsi="Times New Roman" w:eastAsia="仿宋_GB2312" w:cs="Times New Roman"/>
          <w:color w:val="FF0000"/>
          <w:sz w:val="32"/>
          <w:szCs w:val="32"/>
          <w:lang w:val="en-US" w:eastAsia="zh-CN"/>
        </w:rPr>
        <w:t>相关人员申请</w:t>
      </w:r>
      <w:r>
        <w:rPr>
          <w:rFonts w:hint="default" w:ascii="Times New Roman" w:hAnsi="Times New Roman" w:eastAsia="仿宋_GB2312" w:cs="Times New Roman"/>
          <w:color w:val="FF0000"/>
          <w:sz w:val="32"/>
          <w:szCs w:val="32"/>
          <w:lang w:eastAsia="zh-CN"/>
        </w:rPr>
        <w:t>加入海南省试点建筑师库，加强库内建筑师团队的诚信管理。</w:t>
      </w:r>
      <w:r>
        <w:rPr>
          <w:rFonts w:hint="eastAsia" w:ascii="Times New Roman" w:hAnsi="Times New Roman" w:eastAsia="仿宋_GB2312" w:cs="Times New Roman"/>
          <w:color w:val="FF0000"/>
          <w:sz w:val="32"/>
          <w:szCs w:val="32"/>
          <w:lang w:val="en-US" w:eastAsia="zh-CN"/>
        </w:rPr>
        <w:t>鼓励有条件的项目试点推行建筑师负责制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。责任建筑师对项目建设全过程绿色低碳理念的融入进行全程指导、把关和监督，实现设计理念的创新。（责任单位：市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8.加强人员培训与交流。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建筑设计人员参加省内外相关专题讲座或培训，邀请专家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培训指导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绿色建筑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的技术应用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FF0000"/>
          <w:sz w:val="32"/>
          <w:szCs w:val="32"/>
          <w:lang w:eastAsia="zh-CN"/>
        </w:rPr>
        <w:t>将绿色建筑尤其是超低能耗建筑、零碳建筑相关知识纳入全市工程技术人员的继续教育中，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加强设计单位的工作人员对绿色建筑相关理论和实践经验的学习，增强设计单位与咨询单位相互之间的交流与互动。（责任单位：市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局、各区政府、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87" w:name="_Toc22491"/>
      <w:bookmarkStart w:id="88" w:name="_Toc11456"/>
      <w:r>
        <w:rPr>
          <w:rFonts w:hint="eastAsia" w:ascii="楷体_GB2312" w:hAnsi="楷体_GB2312" w:eastAsia="楷体_GB2312" w:cs="楷体_GB2312"/>
          <w:color w:val="000000" w:themeColor="text1"/>
          <w:sz w:val="32"/>
          <w:szCs w:val="32"/>
          <w:lang w:eastAsia="zh-CN"/>
          <w14:textFill>
            <w14:solidFill>
              <w14:schemeClr w14:val="tx1"/>
            </w14:solidFill>
          </w14:textFill>
        </w:rPr>
        <w:t>（二）推进既有建筑节能改造</w:t>
      </w:r>
      <w:bookmarkEnd w:id="87"/>
      <w:bookmarkEnd w:id="88"/>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探索制定适宜改造模式。结合海南省关于建筑设施设备更新工作要求，探索适宜三亚地区既有居住建筑节能改造的模式和技术路径。2024年底完成本市建筑节能改造需求摸底，指导改造项目申请专项债券或超长期国债支持。（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局、市机关事务局、各区政府、市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旅游和文化广电体育局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auto"/>
          <w:spacing w:val="0"/>
          <w:sz w:val="32"/>
          <w:szCs w:val="32"/>
          <w:lang w:val="en-US" w:eastAsia="zh-CN"/>
        </w:rPr>
        <w:t>卫生健康委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、市商务局）</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2.重点推进居住建筑节能改造。对居住建筑全面摸底并重点排查老旧电梯，开展安全风险评估，并根据评估结果，制定改造计划，分阶段分类进行更新工作。</w:t>
      </w:r>
      <w:r>
        <w:rPr>
          <w:rFonts w:hint="default" w:ascii="Times New Roman" w:hAnsi="Times New Roman" w:eastAsia="仿宋_GB2312" w:cs="Times New Roman"/>
          <w:color w:val="FF0000"/>
          <w:sz w:val="32"/>
          <w:szCs w:val="32"/>
          <w:lang w:eastAsia="zh-CN"/>
        </w:rPr>
        <w:t>对既有多层住宅进行全面摸底，</w:t>
      </w:r>
      <w:r>
        <w:rPr>
          <w:rFonts w:hint="eastAsia" w:ascii="Times New Roman" w:hAnsi="Times New Roman" w:eastAsia="仿宋_GB2312" w:cs="Times New Roman"/>
          <w:color w:val="FF0000"/>
          <w:sz w:val="32"/>
          <w:szCs w:val="32"/>
          <w:lang w:val="en-US" w:eastAsia="zh-CN"/>
        </w:rPr>
        <w:t>遵循自愿原则，开展</w:t>
      </w:r>
      <w:r>
        <w:rPr>
          <w:rFonts w:hint="default" w:ascii="Times New Roman" w:hAnsi="Times New Roman" w:eastAsia="仿宋_GB2312" w:cs="Times New Roman"/>
          <w:color w:val="FF0000"/>
          <w:sz w:val="32"/>
          <w:szCs w:val="32"/>
          <w:lang w:eastAsia="zh-CN"/>
        </w:rPr>
        <w:t>既有住宅加装电梯工作，协助符合加装要求的住宅申请使用维修基金，优化维修基金使用流程。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局、各区政府）</w:t>
      </w:r>
    </w:p>
    <w:p>
      <w:pPr>
        <w:adjustRightInd w:val="0"/>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3.全面推进公共建筑节能改造。市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局联合各有关单位成立工作小组，对公共建筑进行摸排，对公共建筑需更新改造的能效低下设备，制定改造计划并进行改造，更新后设备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达到能效标准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局、市机关事务局、各区政府、市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旅游和文化广电体育局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auto"/>
          <w:spacing w:val="0"/>
          <w:sz w:val="32"/>
          <w:szCs w:val="32"/>
          <w:lang w:val="en-US" w:eastAsia="zh-CN"/>
        </w:rPr>
        <w:t>卫生健康委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、市商务局）</w:t>
      </w:r>
    </w:p>
    <w:bookmarkEnd w:id="85"/>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89" w:name="_Toc13667"/>
      <w:bookmarkStart w:id="90" w:name="_Toc27195"/>
      <w:r>
        <w:rPr>
          <w:rFonts w:hint="eastAsia" w:ascii="楷体_GB2312" w:hAnsi="楷体_GB2312" w:eastAsia="楷体_GB2312" w:cs="楷体_GB2312"/>
          <w:color w:val="000000" w:themeColor="text1"/>
          <w:sz w:val="32"/>
          <w:szCs w:val="32"/>
          <w:lang w:eastAsia="zh-CN"/>
          <w14:textFill>
            <w14:solidFill>
              <w14:schemeClr w14:val="tx1"/>
            </w14:solidFill>
          </w14:textFill>
        </w:rPr>
        <w:t>（三）稳步推进装配式建筑</w:t>
      </w:r>
      <w:bookmarkEnd w:id="89"/>
      <w:bookmarkEnd w:id="90"/>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91" w:name="_Toc810955213"/>
      <w:bookmarkStart w:id="92" w:name="_Toc697191017"/>
      <w:bookmarkStart w:id="93" w:name="_Toc492055574"/>
      <w:bookmarkStart w:id="94" w:name="_Toc963620935"/>
      <w:bookmarkStart w:id="95" w:name="_Toc13104"/>
      <w:r>
        <w:rPr>
          <w:rFonts w:hint="default" w:ascii="Times New Roman" w:hAnsi="Times New Roman" w:eastAsia="仿宋_GB2312" w:cs="Times New Roman"/>
          <w:color w:val="000000" w:themeColor="text1"/>
          <w:sz w:val="32"/>
          <w:szCs w:val="32"/>
          <w:lang w:eastAsia="zh-CN"/>
          <w14:textFill>
            <w14:solidFill>
              <w14:schemeClr w14:val="tx1"/>
            </w14:solidFill>
          </w14:textFill>
        </w:rPr>
        <w:t>1.全面推广装配式建筑。具备条件的新建建筑应全部采用装配式方式建造，到2025年末，装配式建筑占新建建筑比例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达到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80%。积极推动装配式建筑与绿色建筑、超低能耗建筑融合发展。推广装配式建筑部品部件在外围护结构、装配式内装修、市政基础工程等领域的应用。</w:t>
      </w:r>
      <w:r>
        <w:rPr>
          <w:rFonts w:hint="eastAsia" w:ascii="Times New Roman" w:hAnsi="Times New Roman" w:eastAsia="仿宋_GB2312" w:cs="Times New Roman"/>
          <w:color w:val="0000FF"/>
          <w:sz w:val="32"/>
          <w:szCs w:val="32"/>
          <w:lang w:val="en-US" w:eastAsia="zh-CN"/>
        </w:rPr>
        <w:t>鼓励提高</w:t>
      </w:r>
      <w:r>
        <w:rPr>
          <w:rFonts w:hint="default" w:ascii="Times New Roman" w:hAnsi="Times New Roman" w:eastAsia="仿宋_GB2312" w:cs="Times New Roman"/>
          <w:color w:val="0000FF"/>
          <w:sz w:val="32"/>
          <w:szCs w:val="32"/>
          <w:lang w:eastAsia="zh-CN"/>
        </w:rPr>
        <w:t>安居房、公共租赁住房等具有保障性质的住房项目</w:t>
      </w:r>
      <w:r>
        <w:rPr>
          <w:rFonts w:hint="eastAsia" w:ascii="Times New Roman" w:hAnsi="Times New Roman" w:eastAsia="仿宋_GB2312" w:cs="Times New Roman"/>
          <w:color w:val="0000FF"/>
          <w:sz w:val="32"/>
          <w:szCs w:val="32"/>
          <w:lang w:val="en-US" w:eastAsia="zh-CN"/>
        </w:rPr>
        <w:t>的标准化设计水平</w:t>
      </w:r>
      <w:r>
        <w:rPr>
          <w:rFonts w:hint="default" w:ascii="Times New Roman" w:hAnsi="Times New Roman" w:eastAsia="仿宋_GB2312" w:cs="Times New Roman"/>
          <w:color w:val="0000FF"/>
          <w:sz w:val="32"/>
          <w:szCs w:val="32"/>
          <w:lang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（责任单位：三亚市政府、市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2.优化产业布局。以供需平衡为目标合理布局增强本地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预制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构件生产供应能力，以标准化为主线引导上下游产业链协同发展。</w:t>
      </w:r>
      <w:r>
        <w:rPr>
          <w:rFonts w:hint="default" w:ascii="Times New Roman" w:hAnsi="Times New Roman" w:eastAsia="仿宋_GB2312" w:cs="Times New Roman"/>
          <w:color w:val="0000FF"/>
          <w:sz w:val="32"/>
          <w:szCs w:val="32"/>
          <w:lang w:eastAsia="zh-CN"/>
        </w:rPr>
        <w:t>鼓励装配式部品部件生产企业</w:t>
      </w:r>
      <w:r>
        <w:rPr>
          <w:rFonts w:hint="eastAsia" w:ascii="Times New Roman" w:hAnsi="Times New Roman" w:eastAsia="仿宋_GB2312" w:cs="Times New Roman"/>
          <w:color w:val="0000FF"/>
          <w:sz w:val="32"/>
          <w:szCs w:val="32"/>
          <w:lang w:val="en-US" w:eastAsia="zh-CN"/>
        </w:rPr>
        <w:t>应用新技术、新模式、新方法降低预制构件综合运输成本，</w:t>
      </w:r>
      <w:r>
        <w:rPr>
          <w:rFonts w:hint="default" w:ascii="Times New Roman" w:hAnsi="Times New Roman" w:eastAsia="仿宋_GB2312" w:cs="Times New Roman"/>
          <w:color w:val="0000FF"/>
          <w:sz w:val="32"/>
          <w:szCs w:val="32"/>
          <w:lang w:eastAsia="zh-CN"/>
        </w:rPr>
        <w:t>为本地及周边工程建设项目提供优质服务</w:t>
      </w:r>
      <w:r>
        <w:rPr>
          <w:rFonts w:hint="eastAsia" w:ascii="Times New Roman" w:hAnsi="Times New Roman" w:eastAsia="仿宋_GB2312" w:cs="Times New Roman"/>
          <w:color w:val="0000FF"/>
          <w:sz w:val="32"/>
          <w:szCs w:val="32"/>
          <w:lang w:val="en-US"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引导装配式部品部件生产企业智能化升级，推进建设综合性产业基地</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鼓励有条件的地区、重点园区发展数字设计、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智能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装备制造、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软件平台开发、智能施工、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建筑机器人等新产业，打造智能建造产业集群。加快引进整体卫浴、集成厨房、整体门窗、轻质墙板系统等高品质装修部品部件生产企业。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培育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具有工程管理、设计、生产、施工能力的工程总承包企业。（责任单位：市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w:t>
      </w:r>
      <w:r>
        <w:rPr>
          <w:rFonts w:hint="eastAsia" w:ascii="仿宋_GB2312" w:hAnsi="仿宋_GB2312" w:eastAsia="仿宋_GB2312" w:cs="仿宋_GB2312"/>
          <w:color w:val="auto"/>
          <w:spacing w:val="0"/>
          <w:sz w:val="32"/>
          <w:szCs w:val="32"/>
          <w:lang w:val="en-US" w:eastAsia="zh-CN"/>
        </w:rPr>
        <w:t>科技工业信息化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鼓励示范项目建设。鼓励钢结构装配式建筑、钢-混组合结构等装配式建筑建设。探索推进钢结构装配式建筑在住宅项目和符合条件的公共建筑中应用。推动在政府投资建设的城市道路、桥梁、管廊等工程中推广应用工业化生产的定型化、标准化、集成化预制部品部件。崖州湾科技城、中央商务区、海棠湾国家海岸休闲园区以及海棠湾、亚龙湾、大三亚湾崖州湾等湾区区域内，政府投资或国有资本投资的大型公共建筑、重点社会民生类项目应率先推广新型装配化技术、新工艺、新材料、新管理模式。（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4.创新工程项目管理制度。推广工程总承包制度、全过程工程咨询，探索推行建筑师负责制。支持引导设计单位提高装配式建筑标准化设计水平，加强设计对生产、施工、装修等各阶段的引领统筹作用。（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5.推进智能建造技术全过程应用。支持在有条件的园区或规划片区内推进BIM等智能建造技术在建筑设计、施工等阶段的集成应用，建设一批智能建造试点示范项目。试点探索BIM报建审批和施工图BIM辅助审图模式，在政府投资项目中率先推动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过程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BIM技术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。推进BIM与城市信息模型（CIM）平台的融通联动，试点建设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BIM系统大数据+CIM平台建设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智慧新城。</w:t>
      </w:r>
      <w:r>
        <w:rPr>
          <w:rFonts w:hint="default" w:ascii="Times New Roman" w:hAnsi="Times New Roman" w:eastAsia="仿宋_GB2312" w:cs="Times New Roman"/>
          <w:color w:val="0000FF"/>
          <w:sz w:val="32"/>
          <w:szCs w:val="32"/>
          <w:lang w:eastAsia="zh-CN"/>
        </w:rPr>
        <w:t>鼓励预制构件生产厂进行生产装备升级，实现全过程信息化流转和智慧化管控，培育部品部件智能工厂。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支持</w:t>
      </w:r>
      <w:r>
        <w:rPr>
          <w:rFonts w:hint="eastAsia" w:ascii="Times New Roman" w:hAnsi="Times New Roman" w:eastAsia="仿宋_GB2312" w:cs="Times New Roman"/>
          <w:color w:val="FF0000"/>
          <w:sz w:val="32"/>
          <w:szCs w:val="32"/>
          <w:lang w:val="en-US" w:eastAsia="zh-CN"/>
        </w:rPr>
        <w:t>有条件的企业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开发产业互联网平台，打造集智慧建设、智慧运维、智慧服务于一体的产业应用平台。（责任单位：市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w:t>
      </w:r>
      <w:r>
        <w:rPr>
          <w:rFonts w:hint="eastAsia" w:ascii="仿宋_GB2312" w:hAnsi="仿宋_GB2312" w:eastAsia="仿宋_GB2312" w:cs="仿宋_GB2312"/>
          <w:color w:val="auto"/>
          <w:spacing w:val="0"/>
          <w:sz w:val="32"/>
          <w:szCs w:val="32"/>
          <w:lang w:val="en-US" w:eastAsia="zh-CN"/>
        </w:rPr>
        <w:t>科技工业信息化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6.加强全过程监管。严格落实《海南省装配式建筑实施主要环节管理规定》（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琼建规〔2023〕13号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等政策文件要求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，结合本市实际不断完善新建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民用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建筑、市政工程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装配式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项目全流程监管机制。加强装配式预制部品部件质量监管，依托海南省建筑市场监管服务平台强化对工程项目建设全过程数字化监管。探索制定与装配式建筑发展相适应的建筑市场信用评价制度。（责任单位：市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7.创建园区级信息化监管平台。支持有条件的园区搭建园区级装配式建筑全过程数字监管平台，引导装配式建筑部品部件生产企业将园区项目的构件生产关键数据上传平台，与BIM、RFID等信息化技术相结合，应用信息化监管平台进行园区装配式项目管理，实现预制构件生产、安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维护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全过程质量目标的可查、可追溯。（责任单位：市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8.加强建筑垃圾监管和资源化利用。</w:t>
      </w:r>
      <w:r>
        <w:rPr>
          <w:rFonts w:hint="default" w:ascii="Times New Roman" w:hAnsi="Times New Roman" w:eastAsia="仿宋_GB2312" w:cs="Times New Roman"/>
          <w:color w:val="0000FF"/>
          <w:sz w:val="32"/>
          <w:szCs w:val="32"/>
          <w:lang w:eastAsia="zh-CN"/>
        </w:rPr>
        <w:t>落实国家、</w:t>
      </w:r>
      <w:r>
        <w:rPr>
          <w:rFonts w:hint="eastAsia" w:ascii="Times New Roman" w:hAnsi="Times New Roman" w:eastAsia="仿宋_GB2312" w:cs="Times New Roman"/>
          <w:color w:val="0000FF"/>
          <w:sz w:val="32"/>
          <w:szCs w:val="32"/>
          <w:lang w:val="en-US" w:eastAsia="zh-CN"/>
        </w:rPr>
        <w:t>海南省、三亚市</w:t>
      </w:r>
      <w:r>
        <w:rPr>
          <w:rFonts w:hint="default" w:ascii="Times New Roman" w:hAnsi="Times New Roman" w:eastAsia="仿宋_GB2312" w:cs="Times New Roman"/>
          <w:color w:val="0000FF"/>
          <w:sz w:val="32"/>
          <w:szCs w:val="32"/>
          <w:lang w:eastAsia="zh-CN"/>
        </w:rPr>
        <w:t>有关建筑垃圾治理法律政策文件和标准规范要求，规范开展建筑垃圾的分类、收集、转运、资源化利用和监管工作，建立健全建筑垃圾全过程监管制度，</w:t>
      </w:r>
      <w:r>
        <w:rPr>
          <w:rFonts w:hint="default" w:ascii="Times New Roman" w:hAnsi="Times New Roman" w:eastAsia="仿宋_GB2312" w:cs="Times New Roman"/>
          <w:color w:val="0000FF"/>
          <w:sz w:val="32"/>
          <w:szCs w:val="32"/>
          <w:lang w:val="en-US" w:eastAsia="zh-CN"/>
        </w:rPr>
        <w:t>贯彻建筑垃圾</w:t>
      </w:r>
      <w:r>
        <w:rPr>
          <w:rFonts w:hint="eastAsia" w:ascii="Times New Roman" w:hAnsi="Times New Roman" w:eastAsia="仿宋_GB2312" w:cs="Times New Roman"/>
          <w:color w:val="0000FF"/>
          <w:sz w:val="32"/>
          <w:szCs w:val="32"/>
          <w:lang w:val="en-US" w:eastAsia="zh-CN"/>
        </w:rPr>
        <w:t>“</w:t>
      </w:r>
      <w:r>
        <w:rPr>
          <w:rFonts w:hint="default" w:ascii="Times New Roman" w:hAnsi="Times New Roman" w:eastAsia="仿宋_GB2312" w:cs="Times New Roman"/>
          <w:color w:val="0000FF"/>
          <w:sz w:val="32"/>
          <w:szCs w:val="32"/>
          <w:lang w:val="en-US" w:eastAsia="zh-CN"/>
        </w:rPr>
        <w:t>谁产生谁负责</w:t>
      </w:r>
      <w:r>
        <w:rPr>
          <w:rFonts w:hint="eastAsia" w:ascii="Times New Roman" w:hAnsi="Times New Roman" w:eastAsia="仿宋_GB2312" w:cs="Times New Roman"/>
          <w:color w:val="0000FF"/>
          <w:sz w:val="32"/>
          <w:szCs w:val="32"/>
          <w:lang w:val="en-US" w:eastAsia="zh-CN"/>
        </w:rPr>
        <w:t>”</w:t>
      </w:r>
      <w:r>
        <w:rPr>
          <w:rFonts w:hint="default" w:ascii="Times New Roman" w:hAnsi="Times New Roman" w:eastAsia="仿宋_GB2312" w:cs="Times New Roman"/>
          <w:color w:val="0000FF"/>
          <w:sz w:val="32"/>
          <w:szCs w:val="32"/>
          <w:lang w:val="en-US" w:eastAsia="zh-CN"/>
        </w:rPr>
        <w:t>原则。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采取设备监控、电子联单、共享信息平台等措施对建筑垃圾种类、数量、运输车辆及去向等情况实行闭环管理。强化建筑垃圾领域的执法打击力度，鼓励应用建筑垃圾资源化利用再生产品。（责任单位：市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w:t>
      </w:r>
      <w:r>
        <w:rPr>
          <w:rFonts w:hint="eastAsia" w:ascii="仿宋_GB2312" w:hAnsi="仿宋_GB2312" w:eastAsia="仿宋_GB2312" w:cs="仿宋_GB2312"/>
          <w:color w:val="auto"/>
          <w:spacing w:val="0"/>
          <w:sz w:val="32"/>
          <w:szCs w:val="32"/>
          <w:lang w:val="en-US" w:eastAsia="zh-CN"/>
        </w:rPr>
        <w:t>科技工业信息化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市综合行政执法局、市公安局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9.继续落实人才引进政策，加快弥补人才短板。积极开展法规政策、标准规范、实用技术等培训活动，推进相关管理、技术人员知识更新。鼓励和支持企业、研发机构、高等院校等研究培育新技术、新工艺和产业人才，支持企业建立建筑产业工人培育基地，鼓励采取校企合作的模式建立技术工人实训基地，加快培育新时代建筑产业工人队伍，对取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业资格证书（或职业技能等级证书）的建筑工人，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符合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给予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补贴。（责任单位：三亚市政府、市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w:t>
      </w:r>
      <w:r>
        <w:rPr>
          <w:rFonts w:hint="eastAsia" w:ascii="仿宋_GB2312" w:hAnsi="仿宋_GB2312" w:eastAsia="仿宋_GB2312" w:cs="仿宋_GB2312"/>
          <w:color w:val="auto"/>
          <w:spacing w:val="-17"/>
          <w:sz w:val="32"/>
          <w:szCs w:val="32"/>
          <w:lang w:val="en-US" w:eastAsia="zh-CN"/>
        </w:rPr>
        <w:t>人力资源社会保障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96" w:name="_Toc17427"/>
      <w:r>
        <w:rPr>
          <w:rFonts w:hint="eastAsia" w:ascii="楷体_GB2312" w:hAnsi="楷体_GB2312" w:eastAsia="楷体_GB2312" w:cs="楷体_GB2312"/>
          <w:color w:val="000000" w:themeColor="text1"/>
          <w:sz w:val="32"/>
          <w:szCs w:val="32"/>
          <w:lang w:eastAsia="zh-CN"/>
          <w14:textFill>
            <w14:solidFill>
              <w14:schemeClr w14:val="tx1"/>
            </w14:solidFill>
          </w14:textFill>
        </w:rPr>
        <w:t>（四）积极推广可再生能源应用</w:t>
      </w:r>
      <w:bookmarkEnd w:id="96"/>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推动可再生能源一体化应用。推动各片区新建建筑积极采用光伏、光热、空气能等不同形式的可再生能源，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鼓励三亚市政府投资新建建筑、学校、医院、商业综合体、大型综合交通枢纽、体育场馆、会展中心等公共设施及崖州湾科技城、中央商务区、海棠湾国家海岸休闲园区内的社会投资公共建筑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自身</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建设条件至少选择一种可再生能源利用形式进行建设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推动具备条件的既有建筑，特别是党政机关、学校、医院等公共建筑和工业厂房等重点用能单位在进行节能改造时，同步改造或设置光伏、空气能等可再生能源利用系统。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（责任单位：市</w:t>
      </w:r>
      <w:r>
        <w:rPr>
          <w:rFonts w:hint="eastAsia" w:ascii="仿宋_GB2312" w:hAnsi="仿宋_GB2312" w:eastAsia="仿宋_GB2312" w:cs="仿宋_GB2312"/>
          <w:color w:val="auto"/>
          <w:spacing w:val="0"/>
          <w:sz w:val="32"/>
          <w:szCs w:val="32"/>
          <w:lang w:val="en-US" w:eastAsia="zh-CN"/>
        </w:rPr>
        <w:t>发展改革委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局、市机关事务局）</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推动新建公共建筑全面电气化。</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在中央商务区、崖州湾科技城</w:t>
      </w: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海棠湾国家海岸休闲园区</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，以及海棠湾、亚龙湾、大三亚湾、崖州湾临海岸线控规单元试点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建设集光伏发电、储能、直流配电、柔性用电于一体的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光储直柔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筑示范项目，提高建筑可再生能源利用率。推动蓄冷蓄热、负荷灵活调节、虚拟电厂等技术应用，开展高效直流电器与设备应用试点。合理利用波谷电力，建立建筑用能需求侧响应机制，提高建筑用能调节能力。在建筑空调、生活热水、炊事等用能领域推广高效电气化应用技术与设备。（责任单位：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bookmarkEnd w:id="91"/>
    <w:bookmarkEnd w:id="92"/>
    <w:bookmarkEnd w:id="93"/>
    <w:bookmarkEnd w:id="94"/>
    <w:bookmarkEnd w:id="95"/>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97" w:name="_Toc23585"/>
      <w:r>
        <w:rPr>
          <w:rFonts w:hint="eastAsia" w:ascii="楷体_GB2312" w:hAnsi="楷体_GB2312" w:eastAsia="楷体_GB2312" w:cs="楷体_GB2312"/>
          <w:color w:val="000000" w:themeColor="text1"/>
          <w:sz w:val="32"/>
          <w:szCs w:val="32"/>
          <w:lang w:eastAsia="zh-CN"/>
          <w14:textFill>
            <w14:solidFill>
              <w14:schemeClr w14:val="tx1"/>
            </w14:solidFill>
          </w14:textFill>
        </w:rPr>
        <w:t>（五）促进建筑领域碳达峰碳中和</w:t>
      </w:r>
      <w:bookmarkEnd w:id="97"/>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1.推进低碳示范项目及示范园区建设。组织各园区结合实际进行基础条件摸底，掌握园区内既有建筑用能结构、能耗数据、可再生能源应用等能源使用情况，制定低碳园区建设工作方案。规划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到2028年，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三亚市及各园区形成一批低碳项目清单并有序推进示范项目建设，建成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低碳/零碳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示范项目。（责任单位：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w:t>
      </w:r>
      <w:r>
        <w:rPr>
          <w:rFonts w:hint="eastAsia" w:ascii="仿宋_GB2312" w:hAnsi="仿宋_GB2312" w:eastAsia="仿宋_GB2312" w:cs="仿宋_GB2312"/>
          <w:color w:val="auto"/>
          <w:spacing w:val="0"/>
          <w:sz w:val="32"/>
          <w:szCs w:val="32"/>
          <w:lang w:val="en-US" w:eastAsia="zh-CN"/>
        </w:rPr>
        <w:t>发展改革委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2.推动超低能耗与近零能耗建筑建设。试点推进超低能耗建筑、近零能耗建筑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，充分考虑三亚市气候条件，结合区域文化，突出热带海岛气候特色超低能耗建筑被动式设计技术要求，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鼓励有条件的区域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建设琼南片区特色超低能耗建筑集中展示区。建设一批近零能耗建筑示范工程，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到20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年，三亚市累计建设超低能耗建筑、近零能耗建筑规模达到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万平方米。（责任单位：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市政府、市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局、市</w:t>
      </w:r>
      <w:r>
        <w:rPr>
          <w:rFonts w:hint="eastAsia" w:ascii="仿宋_GB2312" w:hAnsi="仿宋_GB2312" w:eastAsia="仿宋_GB2312" w:cs="仿宋_GB2312"/>
          <w:color w:val="auto"/>
          <w:spacing w:val="0"/>
          <w:sz w:val="32"/>
          <w:szCs w:val="32"/>
          <w:lang w:val="en-US" w:eastAsia="zh-CN"/>
        </w:rPr>
        <w:t>发展改革委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中央商务区管理局、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崖州湾科技城管理局、三亚市现代服务业产业园管理委员会）</w:t>
      </w: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pacing w:line="560" w:lineRule="exact"/>
        <w:jc w:val="center"/>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98" w:name="_Toc29897"/>
      <w:bookmarkStart w:id="99" w:name="_Toc22985"/>
      <w:r>
        <w:rPr>
          <w:rFonts w:hint="default" w:ascii="Times New Roman" w:hAnsi="Times New Roman" w:eastAsia="黑体" w:cs="Times New Roman"/>
          <w:color w:val="000000" w:themeColor="text1"/>
          <w:sz w:val="44"/>
          <w:szCs w:val="44"/>
          <w:lang w:eastAsia="zh-CN"/>
          <w14:textFill>
            <w14:solidFill>
              <w14:schemeClr w14:val="tx1"/>
            </w14:solidFill>
          </w14:textFill>
        </w:rPr>
        <w:t>第五章  分区规划及指标要求</w:t>
      </w:r>
      <w:bookmarkEnd w:id="98"/>
      <w:bookmarkEnd w:id="99"/>
    </w:p>
    <w:p>
      <w:pPr>
        <w:adjustRightInd w:val="0"/>
        <w:spacing w:line="560" w:lineRule="exact"/>
        <w:ind w:firstLine="600" w:firstLineChars="200"/>
        <w:jc w:val="both"/>
        <w:outlineLvl w:val="1"/>
        <w:rPr>
          <w:rFonts w:hint="default" w:ascii="Times New Roman" w:hAnsi="Times New Roman" w:eastAsia="楷体" w:cs="Times New Roman"/>
          <w:color w:val="000000" w:themeColor="text1"/>
          <w:sz w:val="30"/>
          <w:szCs w:val="30"/>
          <w:lang w:eastAsia="zh-CN"/>
          <w14:textFill>
            <w14:solidFill>
              <w14:schemeClr w14:val="tx1"/>
            </w14:solidFill>
          </w14:textFill>
        </w:rPr>
      </w:pPr>
      <w:bookmarkStart w:id="100" w:name="_Toc4340"/>
      <w:bookmarkStart w:id="101" w:name="_Toc6344"/>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（一）目标管理分区</w:t>
      </w:r>
      <w:bookmarkEnd w:id="100"/>
      <w:bookmarkEnd w:id="101"/>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102" w:name="_Toc8651"/>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本次规划</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衔接《三亚市国土空间总体规划（2021—2035</w:t>
      </w: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）》开发保护总体布局，构建</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两核驱动，一带引领、多组团支撑</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的绿色建筑高质量发展格局，作为规划期限内绿色建筑发展管控的重点。</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两核</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 xml:space="preserve">驱动：依托中央商务区和崖州湾科技城两个核心作为主要驱动力，将三亚打造为具有热带海洋特色的生态文明与宜居宜业的幸福城市，驱动全市绿色建筑高质量发展。 </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一带引领：以海棠湾、亚龙湾、大三亚湾（包含大东海、三亚湾、红塘湾和南山一带）、崖州湾等临海岸线为控规单元。通过海岸带区域内绿色建筑高质量发展，逐步向北侧市域渗透，将三亚打造成为世界级的热带海滨风景旅游城市，引领全市绿色建筑高质量发展。</w:t>
      </w:r>
    </w:p>
    <w:p>
      <w:pPr>
        <w:spacing w:line="560" w:lineRule="exact"/>
        <w:ind w:firstLine="640" w:firstLineChars="200"/>
        <w:jc w:val="both"/>
        <w:rPr>
          <w:rFonts w:hint="default" w:ascii="Times New Roman" w:hAnsi="Times New Roman" w:eastAsia="仿宋_GB2312" w:cs="Times New Roman"/>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多组团支撑：依托</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等重点发展片区形成的示范效应，支撑相邻相应政策单元绿色建筑发展。通过西瓜芒果、红塘湾国际会展、深海科技城和南繁科技城、水蛟智谷、槟榔河本土文化展示、半岭温泉健康体验、南丁南国际体育赛事、海棠湾铁炉港国际游艇与康疗区等八组团与</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两核、一带</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的互动，通过组团之间的协同，形成多点支撑的发展格局，将三亚打造为开放创新的海南自贸港标杆城市。</w:t>
      </w:r>
    </w:p>
    <w:p>
      <w:pPr>
        <w:spacing w:line="560" w:lineRule="exact"/>
        <w:rPr>
          <w:rFonts w:hint="default" w:ascii="Times New Roman" w:hAnsi="Times New Roman" w:eastAsia="仿宋_GB2312" w:cs="Times New Roman"/>
          <w:color w:val="000000" w:themeColor="text1"/>
          <w:sz w:val="28"/>
          <w:szCs w:val="28"/>
          <w:lang w:eastAsia="zh-CN" w:bidi="ar"/>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bidi="ar"/>
          <w14:textFill>
            <w14:solidFill>
              <w14:schemeClr w14:val="tx1"/>
            </w14:solidFill>
          </w14:textFill>
        </w:rPr>
      </w:pPr>
    </w:p>
    <w:p>
      <w:pPr>
        <w:spacing w:line="560" w:lineRule="exact"/>
        <w:ind w:firstLine="640" w:firstLineChars="200"/>
        <w:outlineLvl w:val="2"/>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bookmarkStart w:id="103" w:name="_Toc22426"/>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1.目标管理分区划分</w:t>
      </w:r>
      <w:bookmarkEnd w:id="103"/>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三亚市域划分为7个目标管理单元分区，目标管理分区名称及编号如下：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394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序号</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目标管理分区名称</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目标管理分区编号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1</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吉阳区</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2</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海棠区</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3</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天涯区</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崖州区</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5</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中央商务区</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6</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崖州湾科技城</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7</w:t>
            </w:r>
          </w:p>
        </w:tc>
        <w:tc>
          <w:tcPr>
            <w:tcW w:w="3945"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三亚</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海棠湾</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国家海岸休闲园区</w:t>
            </w:r>
          </w:p>
        </w:tc>
        <w:tc>
          <w:tcPr>
            <w:tcW w:w="2841" w:type="dxa"/>
            <w:vAlign w:val="center"/>
          </w:tcPr>
          <w:p>
            <w:pPr>
              <w:jc w:val="center"/>
              <w:rPr>
                <w:rFonts w:hint="default" w:ascii="Times New Roman" w:hAnsi="Times New Roman" w:cs="Times New Roman"/>
                <w:sz w:val="28"/>
                <w:szCs w:val="28"/>
                <w:vertAlign w:val="baseline"/>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460200-07</w:t>
            </w:r>
          </w:p>
        </w:tc>
      </w:tr>
    </w:tbl>
    <w:p>
      <w:pPr>
        <w:bidi w:val="0"/>
        <w:rPr>
          <w:rFonts w:hint="default" w:ascii="Times New Roman" w:hAnsi="Times New Roman" w:cs="Times New Roman"/>
          <w:lang w:eastAsia="zh-CN"/>
        </w:rPr>
      </w:pPr>
    </w:p>
    <w:p>
      <w:pPr>
        <w:adjustRightInd w:val="0"/>
        <w:spacing w:line="560" w:lineRule="exact"/>
        <w:ind w:firstLine="640" w:firstLineChars="200"/>
        <w:jc w:val="both"/>
        <w:outlineLvl w:val="1"/>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104" w:name="_Toc31906"/>
      <w:r>
        <w:rPr>
          <w:rFonts w:hint="eastAsia" w:ascii="楷体_GB2312" w:hAnsi="楷体_GB2312" w:eastAsia="楷体_GB2312" w:cs="楷体_GB2312"/>
          <w:color w:val="000000" w:themeColor="text1"/>
          <w:sz w:val="32"/>
          <w:szCs w:val="32"/>
          <w:lang w:eastAsia="zh-CN"/>
          <w14:textFill>
            <w14:solidFill>
              <w14:schemeClr w14:val="tx1"/>
            </w14:solidFill>
          </w14:textFill>
        </w:rPr>
        <w:t>（二）政策单元</w:t>
      </w:r>
      <w:bookmarkEnd w:id="104"/>
    </w:p>
    <w:p>
      <w:pPr>
        <w:spacing w:line="560" w:lineRule="exact"/>
        <w:ind w:firstLine="640" w:firstLineChars="200"/>
        <w:jc w:val="both"/>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pPr>
      <w:bookmarkStart w:id="105" w:name="_Toc25876"/>
      <w:bookmarkStart w:id="106" w:name="_Toc10816"/>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1.政策单元划分</w:t>
      </w:r>
      <w:bookmarkEnd w:id="105"/>
      <w:bookmarkEnd w:id="106"/>
    </w:p>
    <w:p>
      <w:pPr>
        <w:spacing w:line="560" w:lineRule="exact"/>
        <w:ind w:firstLine="640" w:firstLineChars="200"/>
        <w:jc w:val="both"/>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三亚市行政分区分为吉阳区、海棠区、天涯区、崖州区，但因为中央商务区、崖州湾科技城、三亚海棠湾国家海岸休闲园区为重点园区，本次政策单元划分为7个分区，重点园区和行政分区有交叉的部分划分到重点园区。政策单元划分衔接各片区控制性详细规划，指标制定参照控规要求。根据调研的控规材料，各个目标管理分区的政策单元按所能够调研到的控规用地布局图进行划分，其余没有控规图的区域可参照临近地块执行。</w:t>
      </w:r>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bidi="ar"/>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bidi="ar"/>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bidi="ar"/>
          <w14:textFill>
            <w14:solidFill>
              <w14:schemeClr w14:val="tx1"/>
            </w14:solidFill>
          </w14:textFill>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937"/>
        <w:gridCol w:w="2147"/>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tcBorders>
              <w:tl2br w:val="nil"/>
              <w:tr2bl w:val="nil"/>
            </w:tcBorders>
            <w:vAlign w:val="center"/>
          </w:tcPr>
          <w:p>
            <w:pPr>
              <w:pStyle w:val="4"/>
              <w:jc w:val="center"/>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编号</w:t>
            </w:r>
          </w:p>
        </w:tc>
        <w:tc>
          <w:tcPr>
            <w:tcW w:w="1230" w:type="pct"/>
            <w:tcBorders>
              <w:tl2br w:val="nil"/>
              <w:tr2bl w:val="nil"/>
            </w:tcBorders>
            <w:vAlign w:val="center"/>
          </w:tcPr>
          <w:p>
            <w:pPr>
              <w:pStyle w:val="4"/>
              <w:jc w:val="center"/>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目标管理分区</w:t>
            </w:r>
          </w:p>
        </w:tc>
        <w:tc>
          <w:tcPr>
            <w:tcW w:w="1353" w:type="pct"/>
            <w:tcBorders>
              <w:tl2br w:val="nil"/>
              <w:tr2bl w:val="nil"/>
            </w:tcBorders>
            <w:vAlign w:val="center"/>
          </w:tcPr>
          <w:p>
            <w:pPr>
              <w:pStyle w:val="4"/>
              <w:jc w:val="center"/>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政策单元编号</w:t>
            </w:r>
          </w:p>
        </w:tc>
        <w:tc>
          <w:tcPr>
            <w:tcW w:w="1958" w:type="pct"/>
            <w:tcBorders>
              <w:tl2br w:val="nil"/>
              <w:tr2bl w:val="nil"/>
            </w:tcBorders>
            <w:vAlign w:val="center"/>
          </w:tcPr>
          <w:p>
            <w:pPr>
              <w:pStyle w:val="4"/>
              <w:jc w:val="center"/>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政策单元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57" w:type="pct"/>
            <w:vMerge w:val="restart"/>
            <w:tcBorders>
              <w:tl2br w:val="nil"/>
              <w:tr2bl w:val="nil"/>
            </w:tcBorders>
            <w:shd w:val="clear" w:color="auto" w:fill="D7D7D7" w:themeFill="background1" w:themeFillShade="D8"/>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1</w:t>
            </w:r>
          </w:p>
        </w:tc>
        <w:tc>
          <w:tcPr>
            <w:tcW w:w="1230" w:type="pct"/>
            <w:vMerge w:val="restart"/>
            <w:tcBorders>
              <w:tl2br w:val="nil"/>
              <w:tr2bl w:val="nil"/>
            </w:tcBorders>
            <w:shd w:val="clear" w:color="auto" w:fill="D7D7D7" w:themeFill="background1" w:themeFillShade="D8"/>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吉阳区</w:t>
            </w:r>
          </w:p>
        </w:tc>
        <w:tc>
          <w:tcPr>
            <w:tcW w:w="1353"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460200-01-01</w:t>
            </w:r>
          </w:p>
        </w:tc>
        <w:tc>
          <w:tcPr>
            <w:tcW w:w="1958"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下洋田片区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D7D7D7" w:themeFill="background1" w:themeFillShade="D8"/>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D7D7D7" w:themeFill="background1" w:themeFillShade="D8"/>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460200-01-02</w:t>
            </w:r>
          </w:p>
        </w:tc>
        <w:tc>
          <w:tcPr>
            <w:tcW w:w="1958"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南丁</w:t>
            </w:r>
            <w:r>
              <w:rPr>
                <w:rFonts w:hint="eastAsia" w:ascii="Times New Roman" w:hAnsi="Times New Roman" w:eastAsia="仿宋_GB2312" w:cs="Times New Roman"/>
                <w:color w:val="000000" w:themeColor="text1"/>
                <w:lang w:val="en-US" w:eastAsia="zh-CN"/>
                <w14:textFill>
                  <w14:solidFill>
                    <w14:schemeClr w14:val="tx1"/>
                  </w14:solidFill>
                </w14:textFill>
              </w:rPr>
              <w:t>南</w:t>
            </w:r>
            <w:r>
              <w:rPr>
                <w:rFonts w:hint="default" w:ascii="Times New Roman" w:hAnsi="Times New Roman" w:eastAsia="仿宋_GB2312" w:cs="Times New Roman"/>
                <w:color w:val="000000" w:themeColor="text1"/>
                <w:lang w:eastAsia="zh-CN"/>
                <w14:textFill>
                  <w14:solidFill>
                    <w14:schemeClr w14:val="tx1"/>
                  </w14:solidFill>
                </w14:textFill>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restart"/>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3</w:t>
            </w:r>
          </w:p>
        </w:tc>
        <w:tc>
          <w:tcPr>
            <w:tcW w:w="1230" w:type="pct"/>
            <w:vMerge w:val="restart"/>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天涯区</w:t>
            </w: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460200-03-01</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西瓜芒果单元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460200-03-02</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金鸡岭单元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460200-03-03</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体育公园单元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460200-03-04</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冲会单元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460200-03-05</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红塘湾国际会展单元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restart"/>
            <w:tcBorders>
              <w:tl2br w:val="nil"/>
              <w:tr2bl w:val="nil"/>
            </w:tcBorders>
            <w:shd w:val="clear" w:color="auto" w:fill="D7D7D7" w:themeFill="background1" w:themeFillShade="D8"/>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5</w:t>
            </w:r>
          </w:p>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restart"/>
            <w:tcBorders>
              <w:tl2br w:val="nil"/>
              <w:tr2bl w:val="nil"/>
            </w:tcBorders>
            <w:shd w:val="clear" w:color="auto" w:fill="D7D7D7" w:themeFill="background1" w:themeFillShade="D8"/>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中央商务区</w:t>
            </w:r>
          </w:p>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5-01</w:t>
            </w:r>
          </w:p>
        </w:tc>
        <w:tc>
          <w:tcPr>
            <w:tcW w:w="1958"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凤凰海岸片区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D7D7D7" w:themeFill="background1" w:themeFillShade="D8"/>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D7D7D7" w:themeFill="background1" w:themeFillShade="D8"/>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5-02</w:t>
            </w:r>
          </w:p>
        </w:tc>
        <w:tc>
          <w:tcPr>
            <w:tcW w:w="1958"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月川村单元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7" w:type="pct"/>
            <w:vMerge w:val="continue"/>
            <w:tcBorders>
              <w:tl2br w:val="nil"/>
              <w:tr2bl w:val="nil"/>
            </w:tcBorders>
            <w:shd w:val="clear" w:color="auto" w:fill="D7D7D7" w:themeFill="background1" w:themeFillShade="D8"/>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D7D7D7" w:themeFill="background1" w:themeFillShade="D8"/>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5-03</w:t>
            </w:r>
          </w:p>
        </w:tc>
        <w:tc>
          <w:tcPr>
            <w:tcW w:w="1958"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海罗片区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Merge w:val="continue"/>
            <w:tcBorders>
              <w:tl2br w:val="nil"/>
              <w:tr2bl w:val="nil"/>
            </w:tcBorders>
            <w:shd w:val="clear" w:color="auto" w:fill="D7D7D7" w:themeFill="background1" w:themeFillShade="D8"/>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230" w:type="pct"/>
            <w:vMerge w:val="continue"/>
            <w:tcBorders>
              <w:tl2br w:val="nil"/>
              <w:tr2bl w:val="nil"/>
            </w:tcBorders>
            <w:shd w:val="clear" w:color="auto" w:fill="D7D7D7" w:themeFill="background1" w:themeFillShade="D8"/>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p>
        </w:tc>
        <w:tc>
          <w:tcPr>
            <w:tcW w:w="1353"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5-04</w:t>
            </w:r>
          </w:p>
        </w:tc>
        <w:tc>
          <w:tcPr>
            <w:tcW w:w="1958" w:type="pct"/>
            <w:tcBorders>
              <w:tl2br w:val="nil"/>
              <w:tr2bl w:val="nil"/>
            </w:tcBorders>
            <w:shd w:val="clear" w:color="auto" w:fill="D7D7D7" w:themeFill="background1" w:themeFillShade="D8"/>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三亚东岸单元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6</w:t>
            </w:r>
          </w:p>
        </w:tc>
        <w:tc>
          <w:tcPr>
            <w:tcW w:w="1230" w:type="pct"/>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崖州湾科技城</w:t>
            </w: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6-01</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崖州湾科技城中片区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tcBorders>
              <w:tl2br w:val="nil"/>
              <w:tr2bl w:val="nil"/>
            </w:tcBorders>
            <w:shd w:val="clear" w:color="auto" w:fill="CCC0D9" w:themeFill="accent4" w:themeFillTint="66"/>
            <w:vAlign w:val="center"/>
          </w:tcPr>
          <w:p>
            <w:pPr>
              <w:adjustRightInd w:val="0"/>
              <w:snapToGrid w:val="0"/>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7</w:t>
            </w:r>
          </w:p>
        </w:tc>
        <w:tc>
          <w:tcPr>
            <w:tcW w:w="1230" w:type="pct"/>
            <w:tcBorders>
              <w:tl2br w:val="nil"/>
              <w:tr2bl w:val="nil"/>
            </w:tcBorders>
            <w:shd w:val="clear" w:color="auto" w:fill="CCC0D9" w:themeFill="accent4" w:themeFillTint="66"/>
            <w:vAlign w:val="center"/>
          </w:tcPr>
          <w:p>
            <w:pPr>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三亚海棠湾国家海岸休闲园区</w:t>
            </w:r>
          </w:p>
        </w:tc>
        <w:tc>
          <w:tcPr>
            <w:tcW w:w="1353"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4602</w:t>
            </w:r>
            <w:r>
              <w:rPr>
                <w:rFonts w:hint="default" w:ascii="Times New Roman" w:hAnsi="Times New Roman" w:eastAsia="仿宋_GB2312" w:cs="Times New Roman"/>
                <w:color w:val="000000" w:themeColor="text1"/>
                <w14:textFill>
                  <w14:solidFill>
                    <w14:schemeClr w14:val="tx1"/>
                  </w14:solidFill>
                </w14:textFill>
              </w:rPr>
              <w:t>00-0</w:t>
            </w:r>
            <w:r>
              <w:rPr>
                <w:rFonts w:hint="default" w:ascii="Times New Roman" w:hAnsi="Times New Roman" w:eastAsia="仿宋_GB2312" w:cs="Times New Roman"/>
                <w:color w:val="000000" w:themeColor="text1"/>
                <w:lang w:eastAsia="zh-CN"/>
                <w14:textFill>
                  <w14:solidFill>
                    <w14:schemeClr w14:val="tx1"/>
                  </w14:solidFill>
                </w14:textFill>
              </w:rPr>
              <w:t>7-01</w:t>
            </w:r>
          </w:p>
        </w:tc>
        <w:tc>
          <w:tcPr>
            <w:tcW w:w="1958" w:type="pct"/>
            <w:tcBorders>
              <w:tl2br w:val="nil"/>
              <w:tr2bl w:val="nil"/>
            </w:tcBorders>
            <w:shd w:val="clear" w:color="auto" w:fill="CCC0D9" w:themeFill="accent4" w:themeFillTint="66"/>
            <w:vAlign w:val="center"/>
          </w:tcPr>
          <w:p>
            <w:pPr>
              <w:pStyle w:val="4"/>
              <w:jc w:val="center"/>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三亚海棠湾国家海岸休闲园区</w:t>
            </w:r>
          </w:p>
        </w:tc>
      </w:tr>
    </w:tbl>
    <w:p>
      <w:pPr>
        <w:spacing w:line="560" w:lineRule="exact"/>
        <w:rPr>
          <w:rFonts w:hint="default" w:ascii="Times New Roman" w:hAnsi="Times New Roman" w:eastAsia="仿宋_GB2312" w:cs="Times New Roman"/>
          <w:color w:val="000000" w:themeColor="text1"/>
          <w:lang w:eastAsia="zh-CN"/>
          <w14:textFill>
            <w14:solidFill>
              <w14:schemeClr w14:val="tx1"/>
            </w14:solidFill>
          </w14:textFill>
        </w:rPr>
      </w:pPr>
    </w:p>
    <w:p>
      <w:pPr>
        <w:spacing w:line="560" w:lineRule="exact"/>
        <w:ind w:firstLine="560" w:firstLineChars="200"/>
        <w:outlineLvl w:val="2"/>
        <w:rPr>
          <w:rFonts w:hint="default" w:ascii="Times New Roman" w:hAnsi="Times New Roman" w:eastAsia="仿宋_GB2312" w:cs="Times New Roman"/>
          <w:bCs/>
          <w:color w:val="000000" w:themeColor="text1"/>
          <w:sz w:val="28"/>
          <w:szCs w:val="28"/>
          <w:lang w:eastAsia="zh-CN"/>
          <w14:textFill>
            <w14:solidFill>
              <w14:schemeClr w14:val="tx1"/>
            </w14:solidFill>
          </w14:textFill>
        </w:rPr>
      </w:pPr>
      <w:bookmarkStart w:id="107" w:name="_Toc18361"/>
      <w:bookmarkStart w:id="108" w:name="_Toc769"/>
      <w:r>
        <w:rPr>
          <w:rFonts w:hint="default" w:ascii="Times New Roman" w:hAnsi="Times New Roman" w:eastAsia="仿宋_GB2312" w:cs="Times New Roman"/>
          <w:bCs/>
          <w:color w:val="000000" w:themeColor="text1"/>
          <w:sz w:val="28"/>
          <w:szCs w:val="28"/>
          <w:lang w:eastAsia="zh-CN"/>
          <w14:textFill>
            <w14:solidFill>
              <w14:schemeClr w14:val="tx1"/>
            </w14:solidFill>
          </w14:textFill>
        </w:rPr>
        <w:t>2.重点发展区和基础发展区划分</w:t>
      </w:r>
      <w:bookmarkEnd w:id="107"/>
      <w:bookmarkEnd w:id="108"/>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3919"/>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编号</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目标管理分区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发展区类型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460200-01</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吉阳区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基础发展区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460200-02</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海棠区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基础发展区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460200-03</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天涯区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基础发展区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460200-04</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崖州区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基础发展区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460200-05</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中央商务区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重点发展区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460200-06</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崖州湾科技城</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重点发展区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460200-07</w:t>
            </w:r>
          </w:p>
        </w:tc>
        <w:tc>
          <w:tcPr>
            <w:tcW w:w="230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三亚海棠湾国家海岸休闲园区</w:t>
            </w:r>
          </w:p>
        </w:tc>
        <w:tc>
          <w:tcPr>
            <w:tcW w:w="1860" w:type="pct"/>
            <w:tcBorders>
              <w:tl2br w:val="nil"/>
              <w:tr2bl w:val="nil"/>
            </w:tcBorders>
            <w:vAlign w:val="center"/>
          </w:tcPr>
          <w:p>
            <w:pPr>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重点发展区</w:t>
            </w:r>
          </w:p>
        </w:tc>
      </w:tr>
    </w:tbl>
    <w:p>
      <w:pPr>
        <w:rPr>
          <w:rFonts w:hint="default" w:ascii="Times New Roman" w:hAnsi="Times New Roman" w:cs="Times New Roman"/>
          <w:lang w:eastAsia="zh-CN"/>
        </w:rPr>
      </w:pPr>
      <w:r>
        <w:rPr>
          <w:rFonts w:hint="default" w:ascii="Times New Roman" w:hAnsi="Times New Roman" w:cs="Times New Roman"/>
          <w:lang w:eastAsia="zh-CN"/>
        </w:rPr>
        <w:br w:type="page"/>
      </w:r>
    </w:p>
    <w:p>
      <w:pPr>
        <w:adjustRightInd w:val="0"/>
        <w:spacing w:line="560" w:lineRule="exact"/>
        <w:jc w:val="center"/>
        <w:outlineLvl w:val="0"/>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109" w:name="_Toc29492"/>
      <w:bookmarkStart w:id="110" w:name="_Toc18179"/>
      <w:r>
        <w:rPr>
          <w:rFonts w:hint="default" w:ascii="Times New Roman" w:hAnsi="Times New Roman" w:eastAsia="黑体" w:cs="Times New Roman"/>
          <w:color w:val="000000" w:themeColor="text1"/>
          <w:sz w:val="44"/>
          <w:szCs w:val="44"/>
          <w:lang w:eastAsia="zh-CN"/>
          <w14:textFill>
            <w14:solidFill>
              <w14:schemeClr w14:val="tx1"/>
            </w14:solidFill>
          </w14:textFill>
        </w:rPr>
        <w:t>第六章  保障措施</w:t>
      </w:r>
      <w:bookmarkEnd w:id="109"/>
      <w:bookmarkEnd w:id="110"/>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bookmarkStart w:id="111" w:name="_Toc22858"/>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1.加强组织领导</w:t>
      </w:r>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局负责本市绿色建筑发展和相关活动的监督管理工作，强化与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市发展改革委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市科技工业信息化局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市自然资源和规划局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市财政局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市市场监管局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市生态环境局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部门工作协作，明确相关部门责任义务，加强规划衔接。建立完善本市绿色建筑发展考核工作机制，强化绿色建筑发展专项规划落实情况检查，将绿色建筑规划目标完成情况和措施落实情况纳入各区责任评价考核体系中。</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政策支持</w:t>
      </w:r>
      <w:bookmarkEnd w:id="111"/>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完善配套政策和推进措施，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市住房城乡建设局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市自然资源和规划局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市发展改革委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市财政局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等主管部门和相关部门，以及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自贸港重点园区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根据实际制定符合区域发展的绿色建筑、装配式建筑、超低能耗建筑推广激励政策，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提高高星级绿色建筑、超低能耗建筑、低碳建筑项目设计建造和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相应评价认证的积极性。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鼓励运用绿色信贷、绿色债券、绿色基金、绿色保险等绿色金融工具，通过适宜金融手段，扶持绿色建筑、装配式建筑、超低能耗建筑发展。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引导建筑用能托管、合同能源管理等市场化节能服务模式发展。研究制定示范项目、示范区域的专项扶持激励措施。构建完善的建筑业企业诚信评价体系，营造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守信激励、失信惩戒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的市场信用环境。</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112" w:name="_Toc30726"/>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过程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监管</w:t>
      </w:r>
      <w:bookmarkEnd w:id="112"/>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强化规划、设计、施工、验收、运营管理等全过程闭合监管措施，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土地出让、项目规划和建设全过程均应严格落实绿色建筑指标体系要求。持续开展年度建筑节能、绿色建筑及装配式建筑实施情况专项检查。加强绿色建筑运行指标数据统计监管和建筑能耗监测工作，引导绿色建筑项目运营单位或业主强化日常运行管理，对运行指标不满足申报指标要求的，按规定采取限期整改、撤销标识等措施，对存在违法违规行为的单位和个人，进行相应处罚。探索推进绿色建筑全过程信息化管理，鼓励有条件的园区构建管理服务平台。</w:t>
      </w:r>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113" w:name="_Toc23756"/>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bookmarkEnd w:id="113"/>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加强技术支撑</w:t>
      </w:r>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和完善绿色建筑和建筑工业化领域人才引进和培养激励机制，加强建筑领域碳排放研究专家队伍建设。加大高层次人才引进力度，完善人才引进制度；建立规范化、制度化的人才培养、技能认定机制；鼓励骨干企业和科研单位依托重大科研项目和示范应用工程，培养一批领军人才、专业技术人员、经营管理人员和产业工人队伍。</w:t>
      </w:r>
      <w:r>
        <w:rPr>
          <w:rFonts w:hint="default" w:ascii="Times New Roman" w:hAnsi="Times New Roman" w:eastAsia="仿宋_GB2312" w:cs="Times New Roman"/>
          <w:color w:val="0000FF"/>
          <w:sz w:val="32"/>
          <w:szCs w:val="32"/>
          <w:lang w:val="en-US" w:eastAsia="zh-CN"/>
        </w:rPr>
        <w:t>研究建立本市绿色建筑专家库，支持</w:t>
      </w:r>
      <w:r>
        <w:rPr>
          <w:rFonts w:hint="eastAsia" w:ascii="Times New Roman" w:hAnsi="Times New Roman" w:eastAsia="仿宋_GB2312" w:cs="Times New Roman"/>
          <w:color w:val="0000FF"/>
          <w:sz w:val="32"/>
          <w:szCs w:val="32"/>
          <w:lang w:val="en-US" w:eastAsia="zh-CN"/>
        </w:rPr>
        <w:t>符合条件的机构开展工程项目</w:t>
      </w:r>
      <w:r>
        <w:rPr>
          <w:rFonts w:hint="default" w:ascii="Times New Roman" w:hAnsi="Times New Roman" w:eastAsia="仿宋_GB2312" w:cs="Times New Roman"/>
          <w:color w:val="0000FF"/>
          <w:sz w:val="32"/>
          <w:szCs w:val="32"/>
          <w:lang w:val="en-US" w:eastAsia="zh-CN"/>
        </w:rPr>
        <w:t>绿色建筑一星级预评价和评价工作。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加强海南省绿色建筑专家库入库宣贯和流程培训，鼓励绿色建筑相关领域专家申请入库。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鼓励和支持企业、高等院校、研发机构研究开发绿色建筑的新技术、新工艺、新材料和新设备，加快成果转化和推广使用。鼓励、支持发展绿色建筑技术服务产业。</w:t>
      </w:r>
      <w:bookmarkStart w:id="114" w:name="_bookmark40"/>
      <w:bookmarkEnd w:id="114"/>
      <w:bookmarkStart w:id="115" w:name="（二）_加强组织协调"/>
      <w:bookmarkEnd w:id="115"/>
      <w:bookmarkStart w:id="116" w:name="_bookmark44"/>
      <w:bookmarkEnd w:id="116"/>
      <w:bookmarkStart w:id="117" w:name="_bookmark45"/>
      <w:bookmarkEnd w:id="117"/>
      <w:bookmarkStart w:id="118" w:name="（六）_强化人才培养"/>
      <w:bookmarkEnd w:id="118"/>
      <w:bookmarkStart w:id="119" w:name="（七）_做好宣传教育"/>
      <w:bookmarkEnd w:id="119"/>
      <w:bookmarkStart w:id="120" w:name="_Toc4025"/>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.积极宣传</w:t>
      </w:r>
      <w:bookmarkEnd w:id="120"/>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大力推进全方位、多层次、宽领域的国内外和省内交流合作，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积极推进绿色建筑、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智能建造项目、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超低能耗建筑示范项目建设工作，定期组织示范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观摩活动，及时总结优秀项目的经验做法。充分发挥政府、企事业单位、行业协会和产业联盟的作用，鼓励开展科技活动周、节能宣传周、技术宣贯会和博览会等活动，并结合电视、官方网站、微信公众号等多种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渠道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形成立体化的宣传体系，营造良好的社会氛围，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倡导绿色生活消费方式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bidi w:val="0"/>
        <w:rPr>
          <w:rFonts w:hint="default" w:ascii="Times New Roman" w:hAnsi="Times New Roman" w:cs="Times New Roman"/>
          <w:lang w:eastAsia="zh-CN"/>
        </w:rPr>
      </w:pPr>
    </w:p>
    <w:p>
      <w:pPr>
        <w:spacing w:line="560" w:lineRule="exact"/>
        <w:ind w:firstLine="0" w:firstLineChars="0"/>
        <w:rPr>
          <w:rFonts w:hint="default" w:ascii="Times New Roman" w:hAnsi="Times New Roman" w:eastAsia="仿宋_GB2312" w:cs="Times New Roman"/>
          <w:color w:val="000000" w:themeColor="text1"/>
          <w:sz w:val="28"/>
          <w:szCs w:val="28"/>
          <w:lang w:eastAsia="zh-CN" w:bidi="ar"/>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02"/>
    <w:p>
      <w:pPr>
        <w:adjustRightInd w:val="0"/>
        <w:spacing w:line="560" w:lineRule="exact"/>
        <w:outlineLvl w:val="0"/>
        <w:rPr>
          <w:rFonts w:hint="default" w:ascii="Times New Roman" w:hAnsi="Times New Roman" w:eastAsia="仿宋_GB2312" w:cs="Times New Roman"/>
          <w:bCs/>
          <w:color w:val="000000" w:themeColor="text1"/>
          <w:sz w:val="28"/>
          <w:szCs w:val="28"/>
          <w:lang w:eastAsia="zh-CN"/>
          <w14:textFill>
            <w14:solidFill>
              <w14:schemeClr w14:val="tx1"/>
            </w14:solidFill>
          </w14:textFill>
        </w:rPr>
      </w:pPr>
      <w:bookmarkStart w:id="121" w:name="_Toc8687"/>
      <w:bookmarkStart w:id="122" w:name="_Toc23348"/>
      <w:r>
        <w:rPr>
          <w:rFonts w:hint="default" w:ascii="Times New Roman" w:hAnsi="Times New Roman" w:eastAsia="黑体" w:cs="Times New Roman"/>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目标管理分区指标表</w:t>
      </w:r>
      <w:bookmarkEnd w:id="121"/>
    </w:p>
    <w:bookmarkEnd w:id="122"/>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三亚市绿色建筑专项规划目标管理分区指标要求，具体如下表：</w:t>
      </w:r>
    </w:p>
    <w:tbl>
      <w:tblPr>
        <w:tblStyle w:val="16"/>
        <w:tblW w:w="30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6"/>
        <w:gridCol w:w="1073"/>
        <w:gridCol w:w="865"/>
        <w:gridCol w:w="836"/>
        <w:gridCol w:w="808"/>
        <w:gridCol w:w="823"/>
        <w:gridCol w:w="809"/>
        <w:gridCol w:w="818"/>
        <w:gridCol w:w="732"/>
        <w:gridCol w:w="804"/>
        <w:gridCol w:w="732"/>
        <w:gridCol w:w="746"/>
        <w:gridCol w:w="732"/>
        <w:gridCol w:w="775"/>
        <w:gridCol w:w="761"/>
        <w:gridCol w:w="761"/>
        <w:gridCol w:w="833"/>
        <w:gridCol w:w="761"/>
        <w:gridCol w:w="789"/>
        <w:gridCol w:w="804"/>
        <w:gridCol w:w="775"/>
        <w:gridCol w:w="775"/>
        <w:gridCol w:w="789"/>
        <w:gridCol w:w="775"/>
        <w:gridCol w:w="804"/>
        <w:gridCol w:w="804"/>
        <w:gridCol w:w="804"/>
        <w:gridCol w:w="820"/>
        <w:gridCol w:w="791"/>
        <w:gridCol w:w="791"/>
        <w:gridCol w:w="777"/>
        <w:gridCol w:w="791"/>
        <w:gridCol w:w="820"/>
        <w:gridCol w:w="834"/>
        <w:gridCol w:w="777"/>
        <w:gridCol w:w="863"/>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028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附表</w:t>
            </w:r>
            <w:r>
              <w:rPr>
                <w:rStyle w:val="37"/>
                <w:rFonts w:hint="default" w:ascii="Times New Roman" w:hAnsi="Times New Roman" w:eastAsia="宋体" w:cs="Times New Roman"/>
                <w:color w:val="000000" w:themeColor="text1"/>
                <w:sz w:val="24"/>
                <w:szCs w:val="24"/>
                <w:lang w:val="en-US" w:eastAsia="zh-CN" w:bidi="ar"/>
                <w14:textFill>
                  <w14:solidFill>
                    <w14:schemeClr w14:val="tx1"/>
                  </w14:solidFill>
                </w14:textFill>
              </w:rPr>
              <w:t xml:space="preserve">D.0.1-1 </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三亚市绿色建筑发展专项规划（编号：</w:t>
            </w:r>
            <w:r>
              <w:rPr>
                <w:rStyle w:val="37"/>
                <w:rFonts w:hint="default" w:ascii="Times New Roman" w:hAnsi="Times New Roman" w:eastAsia="宋体" w:cs="Times New Roman"/>
                <w:color w:val="000000" w:themeColor="text1"/>
                <w:sz w:val="24"/>
                <w:szCs w:val="24"/>
                <w:lang w:val="en-US" w:eastAsia="zh-CN" w:bidi="ar"/>
                <w14:textFill>
                  <w14:solidFill>
                    <w14:schemeClr w14:val="tx1"/>
                  </w14:solidFill>
                </w14:textFill>
              </w:rPr>
              <w:t>460200</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）目标管理分区指标要求列表—绿色建筑和装配式建筑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专项规划编号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w:t>
            </w:r>
          </w:p>
        </w:tc>
        <w:tc>
          <w:tcPr>
            <w:tcW w:w="28125"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专项规划类型：√市  □县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目标管理分区编号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备注及说明</w:t>
            </w:r>
          </w:p>
        </w:tc>
        <w:tc>
          <w:tcPr>
            <w:tcW w:w="28125"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指标要求（低限要求，宜根据规划年限分时段设定梯度递进性指标，适于新建建筑（除注明</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既有</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8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绿色建筑技术要求</w:t>
            </w:r>
          </w:p>
        </w:tc>
        <w:tc>
          <w:tcPr>
            <w:tcW w:w="8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装配式建筑技术要求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城镇新建建筑中绿色建筑面积占比</w:t>
            </w:r>
          </w:p>
        </w:tc>
        <w:tc>
          <w:tcPr>
            <w:tcW w:w="7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星级绿色建筑占城镇新建建筑的比例</w:t>
            </w:r>
          </w:p>
        </w:tc>
        <w:tc>
          <w:tcPr>
            <w:tcW w:w="79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绿色建材应用比例</w:t>
            </w:r>
          </w:p>
        </w:tc>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城镇新建建筑中装配式建筑面积占比</w:t>
            </w:r>
          </w:p>
        </w:tc>
        <w:tc>
          <w:tcPr>
            <w:tcW w:w="4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装配式建筑中装配式钢结构建筑面积占比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w:t>
            </w:r>
            <w:r>
              <w:rPr>
                <w:rStyle w:val="38"/>
                <w:rFonts w:hint="default" w:ascii="Times New Roman" w:hAnsi="Times New Roman" w:cs="Times New Roman"/>
                <w:color w:val="000000" w:themeColor="text1"/>
                <w:lang w:val="en-US" w:eastAsia="zh-CN" w:bidi="ar"/>
                <w14:textFill>
                  <w14:solidFill>
                    <w14:schemeClr w14:val="tx1"/>
                  </w14:solidFill>
                </w14:textFill>
              </w:rPr>
              <w:t>年</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w:t>
            </w:r>
            <w:r>
              <w:rPr>
                <w:rStyle w:val="38"/>
                <w:rFonts w:hint="default" w:ascii="Times New Roman" w:hAnsi="Times New Roman" w:cs="Times New Roman"/>
                <w:color w:val="000000" w:themeColor="text1"/>
                <w:lang w:val="en-US" w:eastAsia="zh-CN" w:bidi="ar"/>
                <w14:textFill>
                  <w14:solidFill>
                    <w14:schemeClr w14:val="tx1"/>
                  </w14:solidFill>
                </w14:textFill>
              </w:rPr>
              <w:t>年</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w:t>
            </w:r>
            <w:r>
              <w:rPr>
                <w:rStyle w:val="38"/>
                <w:rFonts w:hint="default" w:ascii="Times New Roman" w:hAnsi="Times New Roman" w:cs="Times New Roman"/>
                <w:color w:val="000000" w:themeColor="text1"/>
                <w:lang w:val="en-US" w:eastAsia="zh-CN" w:bidi="ar"/>
                <w14:textFill>
                  <w14:solidFill>
                    <w14:schemeClr w14:val="tx1"/>
                  </w14:solidFill>
                </w14:textFill>
              </w:rPr>
              <w:t>年</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w:t>
            </w:r>
            <w:r>
              <w:rPr>
                <w:rStyle w:val="38"/>
                <w:rFonts w:hint="default" w:ascii="Times New Roman" w:hAnsi="Times New Roman" w:cs="Times New Roman"/>
                <w:color w:val="000000" w:themeColor="text1"/>
                <w:lang w:val="en-US" w:eastAsia="zh-CN" w:bidi="ar"/>
                <w14:textFill>
                  <w14:solidFill>
                    <w14:schemeClr w14:val="tx1"/>
                  </w14:solidFill>
                </w14:textFill>
              </w:rPr>
              <w:t>年</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w:t>
            </w:r>
            <w:r>
              <w:rPr>
                <w:rStyle w:val="38"/>
                <w:rFonts w:hint="default" w:ascii="Times New Roman" w:hAnsi="Times New Roman" w:cs="Times New Roman"/>
                <w:color w:val="000000" w:themeColor="text1"/>
                <w:lang w:val="en-US" w:eastAsia="zh-CN" w:bidi="ar"/>
                <w14:textFill>
                  <w14:solidFill>
                    <w14:schemeClr w14:val="tx1"/>
                  </w14:solidFill>
                </w14:textFill>
              </w:rPr>
              <w:t>年</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w:t>
            </w:r>
            <w:r>
              <w:rPr>
                <w:rStyle w:val="38"/>
                <w:rFonts w:hint="default" w:ascii="Times New Roman" w:hAnsi="Times New Roman" w:cs="Times New Roman"/>
                <w:color w:val="000000" w:themeColor="text1"/>
                <w:lang w:val="en-US" w:eastAsia="zh-CN" w:bidi="ar"/>
                <w14:textFill>
                  <w14:solidFill>
                    <w14:schemeClr w14:val="tx1"/>
                  </w14:solidFill>
                </w14:textFill>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吉阳区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海棠区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天涯区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崖州区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中央商务区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崖州湾科技城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三亚海棠湾国家海岸休闲园区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r>
    </w:tbl>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28"/>
          <w:szCs w:val="28"/>
          <w:lang w:eastAsia="zh-CN"/>
          <w14:textFill>
            <w14:solidFill>
              <w14:schemeClr w14:val="tx1"/>
            </w14:solidFill>
          </w14:textFill>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6"/>
        <w:gridCol w:w="1774"/>
        <w:gridCol w:w="1352"/>
        <w:gridCol w:w="1340"/>
        <w:gridCol w:w="1284"/>
        <w:gridCol w:w="1284"/>
        <w:gridCol w:w="1352"/>
        <w:gridCol w:w="1433"/>
        <w:gridCol w:w="1284"/>
        <w:gridCol w:w="1284"/>
        <w:gridCol w:w="1340"/>
        <w:gridCol w:w="1433"/>
        <w:gridCol w:w="1377"/>
        <w:gridCol w:w="1290"/>
        <w:gridCol w:w="1352"/>
        <w:gridCol w:w="1383"/>
        <w:gridCol w:w="1358"/>
        <w:gridCol w:w="1315"/>
        <w:gridCol w:w="1315"/>
        <w:gridCol w:w="1389"/>
        <w:gridCol w:w="1389"/>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2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附表</w:t>
            </w:r>
            <w:r>
              <w:rPr>
                <w:rStyle w:val="39"/>
                <w:rFonts w:hint="default" w:ascii="Times New Roman" w:hAnsi="Times New Roman" w:eastAsia="宋体" w:cs="Times New Roman"/>
                <w:color w:val="auto"/>
                <w:sz w:val="24"/>
                <w:szCs w:val="24"/>
                <w:lang w:val="en-US" w:eastAsia="zh-CN" w:bidi="ar"/>
              </w:rPr>
              <w:t xml:space="preserve">D.0.1-2 </w:t>
            </w:r>
            <w:r>
              <w:rPr>
                <w:rFonts w:hint="default" w:ascii="Times New Roman" w:hAnsi="Times New Roman" w:eastAsia="宋体" w:cs="Times New Roman"/>
                <w:i w:val="0"/>
                <w:iCs w:val="0"/>
                <w:color w:val="auto"/>
                <w:kern w:val="0"/>
                <w:sz w:val="24"/>
                <w:szCs w:val="24"/>
                <w:u w:val="none"/>
                <w:lang w:val="en-US" w:eastAsia="zh-CN" w:bidi="ar"/>
              </w:rPr>
              <w:t>三亚市绿色建筑发展专项规划（编号：</w:t>
            </w:r>
            <w:r>
              <w:rPr>
                <w:rStyle w:val="39"/>
                <w:rFonts w:hint="default" w:ascii="Times New Roman" w:hAnsi="Times New Roman" w:eastAsia="宋体" w:cs="Times New Roman"/>
                <w:color w:val="auto"/>
                <w:sz w:val="24"/>
                <w:szCs w:val="24"/>
                <w:lang w:val="en-US" w:eastAsia="zh-CN" w:bidi="ar"/>
              </w:rPr>
              <w:t>460200</w:t>
            </w:r>
            <w:r>
              <w:rPr>
                <w:rFonts w:hint="default" w:ascii="Times New Roman" w:hAnsi="Times New Roman" w:eastAsia="宋体" w:cs="Times New Roman"/>
                <w:i w:val="0"/>
                <w:iCs w:val="0"/>
                <w:color w:val="auto"/>
                <w:kern w:val="0"/>
                <w:sz w:val="24"/>
                <w:szCs w:val="24"/>
                <w:u w:val="none"/>
                <w:lang w:val="en-US" w:eastAsia="zh-CN" w:bidi="ar"/>
              </w:rPr>
              <w:t>）目标管理分区指标要求列表—可再生能源应用和建筑碳排放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专项规划编号</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w:t>
            </w:r>
            <w:r>
              <w:rPr>
                <w:rFonts w:hint="default" w:ascii="Times New Roman" w:hAnsi="Times New Roman"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00</w:t>
            </w:r>
          </w:p>
        </w:tc>
        <w:tc>
          <w:tcPr>
            <w:tcW w:w="4362" w:type="pct"/>
            <w:gridSpan w:val="2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专项规划类型：√市  □县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目标管理分区编号</w:t>
            </w:r>
          </w:p>
        </w:tc>
        <w:tc>
          <w:tcPr>
            <w:tcW w:w="28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备注及说明（对应市辖区或县的乡镇街道名称等）</w:t>
            </w:r>
          </w:p>
        </w:tc>
        <w:tc>
          <w:tcPr>
            <w:tcW w:w="4362" w:type="pct"/>
            <w:gridSpan w:val="2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指标要求（低限要求，宜根据规划年限分时段设定梯度递进性指标，适于新建建筑（除注明</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既有</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28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106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可再生能源应用要求</w:t>
            </w:r>
          </w:p>
        </w:tc>
        <w:tc>
          <w:tcPr>
            <w:tcW w:w="3295" w:type="pct"/>
            <w:gridSpan w:val="1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建筑碳排放技术要求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28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106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可再生能源利用率</w:t>
            </w:r>
          </w:p>
        </w:tc>
        <w:tc>
          <w:tcPr>
            <w:tcW w:w="109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建筑减碳率</w:t>
            </w:r>
          </w:p>
        </w:tc>
        <w:tc>
          <w:tcPr>
            <w:tcW w:w="109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超低能耗建筑累计面积（m2）</w:t>
            </w:r>
          </w:p>
        </w:tc>
        <w:tc>
          <w:tcPr>
            <w:tcW w:w="111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既有民用建筑绿色化改造累计面积（m2）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28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2024年</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2025年</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2026</w:t>
            </w:r>
            <w:r>
              <w:rPr>
                <w:rStyle w:val="40"/>
                <w:rFonts w:hint="default" w:ascii="Times New Roman" w:hAnsi="Times New Roman" w:cs="Times New Roman"/>
                <w:color w:val="auto"/>
                <w:lang w:val="en-US" w:eastAsia="zh-CN" w:bidi="ar"/>
              </w:rPr>
              <w:t>年</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2027</w:t>
            </w:r>
            <w:r>
              <w:rPr>
                <w:rStyle w:val="40"/>
                <w:rFonts w:hint="default" w:ascii="Times New Roman" w:hAnsi="Times New Roman" w:cs="Times New Roman"/>
                <w:color w:val="auto"/>
                <w:lang w:val="en-US" w:eastAsia="zh-CN" w:bidi="ar"/>
              </w:rPr>
              <w:t>年</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2028</w:t>
            </w:r>
            <w:r>
              <w:rPr>
                <w:rStyle w:val="40"/>
                <w:rFonts w:hint="default" w:ascii="Times New Roman" w:hAnsi="Times New Roman" w:cs="Times New Roman"/>
                <w:color w:val="auto"/>
                <w:lang w:val="en-US" w:eastAsia="zh-CN" w:bidi="ar"/>
              </w:rPr>
              <w:t>年</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2024年</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2025年</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2026</w:t>
            </w:r>
            <w:r>
              <w:rPr>
                <w:rStyle w:val="40"/>
                <w:rFonts w:hint="default" w:ascii="Times New Roman" w:hAnsi="Times New Roman" w:cs="Times New Roman"/>
                <w:color w:val="auto"/>
                <w:lang w:val="en-US" w:eastAsia="zh-CN" w:bidi="ar"/>
              </w:rPr>
              <w:t>年</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2027</w:t>
            </w:r>
            <w:r>
              <w:rPr>
                <w:rStyle w:val="40"/>
                <w:rFonts w:hint="default" w:ascii="Times New Roman" w:hAnsi="Times New Roman" w:cs="Times New Roman"/>
                <w:color w:val="auto"/>
                <w:lang w:val="en-US" w:eastAsia="zh-CN" w:bidi="ar"/>
              </w:rPr>
              <w:t>年</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2028</w:t>
            </w:r>
            <w:r>
              <w:rPr>
                <w:rStyle w:val="40"/>
                <w:rFonts w:hint="default" w:ascii="Times New Roman" w:hAnsi="Times New Roman" w:cs="Times New Roman"/>
                <w:color w:val="auto"/>
                <w:lang w:val="en-US" w:eastAsia="zh-CN" w:bidi="ar"/>
              </w:rPr>
              <w:t>年</w:t>
            </w:r>
          </w:p>
        </w:tc>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2024年</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2025年</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2026</w:t>
            </w:r>
            <w:r>
              <w:rPr>
                <w:rStyle w:val="40"/>
                <w:rFonts w:hint="default" w:ascii="Times New Roman" w:hAnsi="Times New Roman" w:cs="Times New Roman"/>
                <w:color w:val="auto"/>
                <w:lang w:val="en-US" w:eastAsia="zh-CN" w:bidi="ar"/>
              </w:rPr>
              <w:t>年</w:t>
            </w:r>
          </w:p>
        </w:tc>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2027</w:t>
            </w:r>
            <w:r>
              <w:rPr>
                <w:rStyle w:val="40"/>
                <w:rFonts w:hint="default" w:ascii="Times New Roman" w:hAnsi="Times New Roman" w:cs="Times New Roman"/>
                <w:color w:val="auto"/>
                <w:lang w:val="en-US" w:eastAsia="zh-CN" w:bidi="ar"/>
              </w:rPr>
              <w:t>年</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2028</w:t>
            </w:r>
            <w:r>
              <w:rPr>
                <w:rStyle w:val="40"/>
                <w:rFonts w:hint="default" w:ascii="Times New Roman" w:hAnsi="Times New Roman" w:cs="Times New Roman"/>
                <w:color w:val="auto"/>
                <w:lang w:val="en-US" w:eastAsia="zh-CN" w:bidi="ar"/>
              </w:rPr>
              <w:t>年</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2024年</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2025年</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2026</w:t>
            </w:r>
            <w:r>
              <w:rPr>
                <w:rStyle w:val="40"/>
                <w:rFonts w:hint="default" w:ascii="Times New Roman" w:hAnsi="Times New Roman" w:cs="Times New Roman"/>
                <w:color w:val="auto"/>
                <w:lang w:val="en-US" w:eastAsia="zh-CN" w:bidi="ar"/>
              </w:rPr>
              <w:t>年</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2027</w:t>
            </w:r>
            <w:r>
              <w:rPr>
                <w:rStyle w:val="40"/>
                <w:rFonts w:hint="default" w:ascii="Times New Roman" w:hAnsi="Times New Roman" w:cs="Times New Roman"/>
                <w:color w:val="auto"/>
                <w:lang w:val="en-US" w:eastAsia="zh-CN" w:bidi="ar"/>
              </w:rPr>
              <w:t>年</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2028</w:t>
            </w:r>
            <w:r>
              <w:rPr>
                <w:rStyle w:val="40"/>
                <w:rFonts w:hint="default" w:ascii="Times New Roman" w:hAnsi="Times New Roman" w:cs="Times New Roman"/>
                <w:color w:val="auto"/>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460200-01</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吉阳区</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250000</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460200-02</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海棠区</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0</w:t>
            </w:r>
          </w:p>
        </w:tc>
        <w:tc>
          <w:tcPr>
            <w:tcW w:w="13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50000</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460200-03</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天涯区</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50000</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460200-04</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崖州区</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3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0</w:t>
            </w:r>
          </w:p>
        </w:tc>
        <w:tc>
          <w:tcPr>
            <w:tcW w:w="13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40000</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50000</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460200-05</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中央商务区</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430" w:type="pct"/>
            <w:gridSpan w:val="2"/>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30000</w:t>
            </w:r>
          </w:p>
        </w:tc>
        <w:tc>
          <w:tcPr>
            <w:tcW w:w="660" w:type="pct"/>
            <w:gridSpan w:val="3"/>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60000</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460200-06</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崖州湾科技城</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430" w:type="pct"/>
            <w:gridSpan w:val="2"/>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p>
        </w:tc>
        <w:tc>
          <w:tcPr>
            <w:tcW w:w="660" w:type="pct"/>
            <w:gridSpan w:val="3"/>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460200-07</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三亚海棠湾国家海岸休闲园区</w:t>
            </w:r>
          </w:p>
        </w:tc>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430" w:type="pct"/>
            <w:gridSpan w:val="2"/>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p>
        </w:tc>
        <w:tc>
          <w:tcPr>
            <w:tcW w:w="660" w:type="pct"/>
            <w:gridSpan w:val="3"/>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r>
    </w:tbl>
    <w:p>
      <w:pPr>
        <w:bidi w:val="0"/>
        <w:rPr>
          <w:rFonts w:hint="default" w:ascii="Times New Roman" w:hAnsi="Times New Roman" w:cs="Times New Roman"/>
          <w:lang w:val="en-US" w:eastAsia="zh-CN"/>
        </w:rPr>
        <w:sectPr>
          <w:pgSz w:w="33675" w:h="23814" w:orient="landscape"/>
          <w:pgMar w:top="3776" w:right="1440" w:bottom="3771" w:left="1440" w:header="851" w:footer="992" w:gutter="0"/>
          <w:paperSrc w:first="7"/>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lang w:eastAsia="zh-CN"/>
        </w:rPr>
        <w:t>注：1、</w:t>
      </w:r>
      <w:bookmarkStart w:id="123" w:name="_Toc22368"/>
      <w:r>
        <w:rPr>
          <w:rFonts w:hint="default" w:ascii="Times New Roman" w:hAnsi="Times New Roman" w:cs="Times New Roman"/>
          <w:lang w:val="en-US" w:eastAsia="zh-CN"/>
        </w:rPr>
        <w:t>本规划附件各政策单元规划指标图中未涉及的片区和单元，应满足本表格所在片区指标要求。</w:t>
      </w:r>
    </w:p>
    <w:bookmarkEnd w:id="123"/>
    <w:p>
      <w:pPr>
        <w:adjustRightInd w:val="0"/>
        <w:spacing w:line="560" w:lineRule="exact"/>
        <w:outlineLvl w:val="0"/>
        <w:rPr>
          <w:rFonts w:hint="default" w:ascii="Times New Roman" w:hAnsi="Times New Roman" w:eastAsia="仿宋_GB2312" w:cs="Times New Roman"/>
          <w:b/>
          <w:bCs/>
          <w:color w:val="000000" w:themeColor="text1"/>
          <w:sz w:val="28"/>
          <w:szCs w:val="28"/>
          <w:lang w:eastAsia="zh-CN"/>
          <w14:textFill>
            <w14:solidFill>
              <w14:schemeClr w14:val="tx1"/>
            </w14:solidFill>
          </w14:textFill>
        </w:rPr>
      </w:pPr>
      <w:bookmarkStart w:id="124" w:name="_Toc9981"/>
      <w:r>
        <w:rPr>
          <w:rFonts w:hint="default" w:ascii="Times New Roman" w:hAnsi="Times New Roman" w:eastAsia="黑体" w:cs="Times New Roman"/>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政策单元指标表</w:t>
      </w:r>
      <w:bookmarkEnd w:id="124"/>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bookmarkStart w:id="125" w:name="_Toc11022"/>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政策单元约束性指标要求</w:t>
      </w:r>
      <w:bookmarkEnd w:id="125"/>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以天涯区西瓜芒果单元460200-03-01为例，其余单元详见附件。</w:t>
      </w:r>
    </w:p>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西瓜芒果单元位于天涯区，应满足天涯区总体指标。根据三亚市中心城区控规：在西瓜芒果片区布局国际商业综合消费区，举办国际免税购物节，吸引高端商品品牌入驻，实施更加开放便利的离岛免税购物政策，主要发展免税购物中心、精品商业街、品牌旗舰店、滨海旅游酒店以及配套的餐饮、休闲设施，同时与南侧海坡片区共同打造区域商业服务和消费中心。片区基本为居住、公寓及商业、中小学用地，建筑高度北高南低（南侧临近海域）。片区内国家机关办公建筑、政府和国有资本投资的单体建筑面积超过2万平方米的大型公共建筑，鼓励按照装配式钢结构建设。</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61"/>
        <w:gridCol w:w="1155"/>
        <w:gridCol w:w="1161"/>
        <w:gridCol w:w="894"/>
        <w:gridCol w:w="816"/>
        <w:gridCol w:w="846"/>
        <w:gridCol w:w="846"/>
        <w:gridCol w:w="864"/>
        <w:gridCol w:w="798"/>
        <w:gridCol w:w="755"/>
        <w:gridCol w:w="749"/>
        <w:gridCol w:w="696"/>
        <w:gridCol w:w="696"/>
        <w:gridCol w:w="730"/>
        <w:gridCol w:w="696"/>
        <w:gridCol w:w="696"/>
        <w:gridCol w:w="719"/>
        <w:gridCol w:w="696"/>
        <w:gridCol w:w="701"/>
        <w:gridCol w:w="707"/>
        <w:gridCol w:w="696"/>
        <w:gridCol w:w="696"/>
        <w:gridCol w:w="696"/>
        <w:gridCol w:w="696"/>
        <w:gridCol w:w="696"/>
        <w:gridCol w:w="696"/>
        <w:gridCol w:w="696"/>
        <w:gridCol w:w="771"/>
        <w:gridCol w:w="696"/>
        <w:gridCol w:w="701"/>
        <w:gridCol w:w="702"/>
        <w:gridCol w:w="697"/>
        <w:gridCol w:w="702"/>
        <w:gridCol w:w="732"/>
        <w:gridCol w:w="732"/>
        <w:gridCol w:w="697"/>
        <w:gridCol w:w="720"/>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政策单元</w:t>
            </w:r>
          </w:p>
        </w:tc>
        <w:tc>
          <w:tcPr>
            <w:tcW w:w="4229" w:type="pct"/>
            <w:gridSpan w:val="3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新建建筑类型</w:t>
            </w:r>
          </w:p>
        </w:tc>
        <w:tc>
          <w:tcPr>
            <w:tcW w:w="4229" w:type="pct"/>
            <w:gridSpan w:val="3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指标要求（低限要求，宜根据规划年限分时段设定梯度递进性指标，适于新建建筑（除注明</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既有</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044" w:type="pct"/>
            <w:gridSpan w:val="2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绿色建筑技术要求</w:t>
            </w:r>
          </w:p>
        </w:tc>
        <w:tc>
          <w:tcPr>
            <w:tcW w:w="1185"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装配式建筑技术要求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0"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71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城镇新建建筑中绿色建筑面积占比</w:t>
            </w:r>
          </w:p>
        </w:tc>
        <w:tc>
          <w:tcPr>
            <w:tcW w:w="1190"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星级绿色建筑占城镇新建建筑的比例</w:t>
            </w:r>
          </w:p>
        </w:tc>
        <w:tc>
          <w:tcPr>
            <w:tcW w:w="1142"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绿色建材应用比例</w:t>
            </w:r>
          </w:p>
        </w:tc>
        <w:tc>
          <w:tcPr>
            <w:tcW w:w="57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城镇新建建筑中装配式建筑面积占比</w:t>
            </w:r>
          </w:p>
        </w:tc>
        <w:tc>
          <w:tcPr>
            <w:tcW w:w="60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装配式建筑中装配式钢结构建筑面积占比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0"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13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14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14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1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25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240"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2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22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230"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23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22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22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22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22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11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1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1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11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11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12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12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11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1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1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70"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3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4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4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2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1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一星级及以上</w:t>
            </w:r>
          </w:p>
        </w:tc>
        <w:tc>
          <w:tcPr>
            <w:tcW w:w="1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高星级</w:t>
            </w:r>
          </w:p>
        </w:tc>
        <w:tc>
          <w:tcPr>
            <w:tcW w:w="1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1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1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2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2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居住建筑</w:t>
            </w: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政府和国有资本投资的居住建筑</w:t>
            </w:r>
          </w:p>
        </w:tc>
        <w:tc>
          <w:tcPr>
            <w:tcW w:w="19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拆迁安置房</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公共租赁房</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85"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除上述外其他</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其他居住建筑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公共建筑</w:t>
            </w: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办公建筑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政府和国有资本投资的办公建筑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其他办公建筑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文化设施建筑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政府和国有资本投资的文化设施建筑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其他文化设施建筑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教育建筑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政府和国有资本投资的教育建筑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其他教育建筑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科研建筑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政府和国有资本投资的科研建筑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其他科研建筑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体育建筑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政府和国有资本投资的体育建筑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其他体育建筑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医疗卫生建筑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政府和国有资本投资的医疗卫生建筑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其他医疗卫生建筑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社会福利建筑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政府和国有资本投资的社会福利建筑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其他社会福利建筑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商业建筑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政府和国有资本投资的商业建筑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其他商业建筑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旅馆建筑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政府和国有资本投资的旅馆建筑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其他旅馆建筑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交通枢纽建筑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政府和国有资本投资的交通枢纽建筑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其他交通枢纽建筑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其他公共建筑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政府和国有资本投资的其他类型公共建筑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其他公共建筑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工业建筑</w:t>
            </w:r>
          </w:p>
        </w:tc>
        <w:tc>
          <w:tcPr>
            <w:tcW w:w="8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w:t>
            </w:r>
          </w:p>
        </w:tc>
      </w:tr>
    </w:tbl>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bookmarkStart w:id="126" w:name="_Toc26777"/>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2.政策单元引导性指标要求</w:t>
      </w:r>
      <w:bookmarkEnd w:id="126"/>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以天涯区西瓜芒果单元460200-03-01为例，其余单元详见附件。</w:t>
      </w:r>
    </w:p>
    <w:p>
      <w:pPr>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片区设置两处学校用地，鼓励学校建筑执行三星级绿色建筑标准、超低能耗建筑示范。片区处于老城区，按片区用地规模制定相应节能改造指标。</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9"/>
        <w:gridCol w:w="1259"/>
        <w:gridCol w:w="1259"/>
        <w:gridCol w:w="1266"/>
        <w:gridCol w:w="1260"/>
        <w:gridCol w:w="1260"/>
        <w:gridCol w:w="1260"/>
        <w:gridCol w:w="1260"/>
        <w:gridCol w:w="1266"/>
        <w:gridCol w:w="1260"/>
        <w:gridCol w:w="1260"/>
        <w:gridCol w:w="1260"/>
        <w:gridCol w:w="1260"/>
        <w:gridCol w:w="1266"/>
        <w:gridCol w:w="1260"/>
        <w:gridCol w:w="1260"/>
        <w:gridCol w:w="1260"/>
        <w:gridCol w:w="1260"/>
        <w:gridCol w:w="1266"/>
        <w:gridCol w:w="1260"/>
        <w:gridCol w:w="1260"/>
        <w:gridCol w:w="1260"/>
        <w:gridCol w:w="1260"/>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政策单元</w:t>
            </w:r>
          </w:p>
        </w:tc>
        <w:tc>
          <w:tcPr>
            <w:tcW w:w="4166" w:type="pct"/>
            <w:gridSpan w:val="2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460200-03-01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新建建筑类型</w:t>
            </w:r>
          </w:p>
        </w:tc>
        <w:tc>
          <w:tcPr>
            <w:tcW w:w="4166" w:type="pct"/>
            <w:gridSpan w:val="2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指标要求（低限要求，宜根据规划年限分时段设定梯度递进性指标，适于新建建筑（除注明</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既有</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3"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4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可再生能源应用要求</w:t>
            </w:r>
          </w:p>
        </w:tc>
        <w:tc>
          <w:tcPr>
            <w:tcW w:w="3125" w:type="pct"/>
            <w:gridSpan w:val="1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建筑碳排放技术要求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4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可再生能源利用率</w:t>
            </w:r>
          </w:p>
        </w:tc>
        <w:tc>
          <w:tcPr>
            <w:tcW w:w="104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建筑降碳率</w:t>
            </w:r>
          </w:p>
        </w:tc>
        <w:tc>
          <w:tcPr>
            <w:tcW w:w="104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超低能耗建筑累计面积（m</w:t>
            </w:r>
            <w:r>
              <w:rPr>
                <w:rFonts w:hint="default" w:ascii="Times New Roman" w:hAnsi="Times New Roman" w:eastAsia="宋体" w:cs="Times New Roman"/>
                <w:i w:val="0"/>
                <w:iCs w:val="0"/>
                <w:color w:val="000000" w:themeColor="text1"/>
                <w:kern w:val="0"/>
                <w:sz w:val="24"/>
                <w:szCs w:val="24"/>
                <w:u w:val="none"/>
                <w:vertAlign w:val="superscript"/>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w:t>
            </w:r>
          </w:p>
        </w:tc>
        <w:tc>
          <w:tcPr>
            <w:tcW w:w="104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既有民用建筑节能改造累计面积（m</w:t>
            </w:r>
            <w:r>
              <w:rPr>
                <w:rFonts w:hint="default" w:ascii="Times New Roman" w:hAnsi="Times New Roman" w:eastAsia="宋体" w:cs="Times New Roman"/>
                <w:i w:val="0"/>
                <w:iCs w:val="0"/>
                <w:color w:val="000000" w:themeColor="text1"/>
                <w:kern w:val="0"/>
                <w:sz w:val="24"/>
                <w:szCs w:val="24"/>
                <w:u w:val="none"/>
                <w:vertAlign w:val="superscript"/>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33"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2024年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2025年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2026年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2027年</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2028年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居住建筑</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政府和国有资本投资的居住建筑</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拆迁安置房</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4000</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公共租赁房</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1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除上述外其他</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其他居住建筑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公共建筑</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办公建筑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政府和国有资本投资的办公建筑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其他办公建筑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文化设施建筑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政府和国有资本投资的文化设施建筑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其他文化设施建筑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教育建筑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政府和国有资本投资的教育建筑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其他教育建筑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科研建筑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政府和国有资本投资的科研建筑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其他科研建筑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体育建筑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政府和国有资本投资的体育建筑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其他体育建筑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医疗卫生建筑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政府和国有资本投资的医疗卫生建筑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其他医疗卫生建筑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社会福利建筑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政府和国有资本投资的社会福利建筑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其他社会福利建筑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商业建筑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政府和国有资本投资的商业建筑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其他商业建筑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旅馆建筑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政府和国有资本投资的旅馆建筑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其他旅馆建筑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交通枢纽建筑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政府和国有资本投资的交通枢纽建筑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其他交通枢纽建筑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其他公共建筑</w:t>
            </w: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政府和国有资本投资的其他类型公共建筑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41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其他公共建筑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工业建筑</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2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w:t>
            </w:r>
          </w:p>
        </w:tc>
      </w:tr>
    </w:tbl>
    <w:p>
      <w:pPr>
        <w:spacing w:line="560" w:lineRule="exact"/>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numPr>
          <w:ilvl w:val="255"/>
          <w:numId w:val="0"/>
        </w:numPr>
        <w:rPr>
          <w:rFonts w:hint="default" w:ascii="Times New Roman" w:hAnsi="Times New Roman" w:cs="Times New Roman"/>
          <w:color w:val="000000" w:themeColor="text1"/>
          <w:lang w:eastAsia="zh-CN"/>
          <w14:textFill>
            <w14:solidFill>
              <w14:schemeClr w14:val="tx1"/>
            </w14:solidFill>
          </w14:textFill>
        </w:rPr>
        <w:sectPr>
          <w:pgSz w:w="33675" w:h="23814" w:orient="landscape"/>
          <w:pgMar w:top="1440" w:right="1800" w:bottom="1440" w:left="1800" w:header="851" w:footer="992" w:gutter="0"/>
          <w:paperSrc w:first="7"/>
          <w:pgBorders>
            <w:top w:val="none" w:sz="0" w:space="0"/>
            <w:left w:val="none" w:sz="0" w:space="0"/>
            <w:bottom w:val="none" w:sz="0" w:space="0"/>
            <w:right w:val="none" w:sz="0" w:space="0"/>
          </w:pgBorders>
          <w:cols w:space="425" w:num="1"/>
          <w:docGrid w:type="lines" w:linePitch="312" w:charSpace="0"/>
        </w:sectPr>
      </w:pPr>
    </w:p>
    <w:p>
      <w:pPr>
        <w:adjustRightInd w:val="0"/>
        <w:spacing w:line="560" w:lineRule="exact"/>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bookmarkStart w:id="127" w:name="_Toc13776"/>
      <w:r>
        <w:rPr>
          <w:rFonts w:hint="default" w:ascii="Times New Roman" w:hAnsi="Times New Roman" w:eastAsia="黑体" w:cs="Times New Roman"/>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lang w:eastAsia="zh-CN"/>
          <w14:textFill>
            <w14:solidFill>
              <w14:schemeClr w14:val="tx1"/>
            </w14:solidFill>
          </w14:textFill>
        </w:rPr>
        <w:t>：各政策单元片区规划指标图</w:t>
      </w:r>
      <w:bookmarkEnd w:id="127"/>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28" w:name="_Toc20755"/>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"_Toc28441"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吉阳区下洋田片区：460200-01-01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28"/>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29" w:name="_Toc779"/>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"_Toc12885"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吉阳区南丁南片区：460200-01-02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29"/>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0" w:name="_Toc4363"/>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"_Toc16294"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天涯区西瓜芒果单元：460200-03-01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0"/>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1" w:name="_Toc11711"/>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"_Toc8914"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天涯区金鸡岭单元：460200-03-02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1"/>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2" w:name="_Toc11323"/>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"_Toc26472"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天涯区体育公园单元：460200-03-03</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2"/>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3" w:name="_Toc30958"/>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"_Toc24843"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天涯区冲会单元：460200-03-04</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3"/>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4" w:name="_Toc10386"/>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"_Toc10464"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天涯区红塘湾国际会展单元：460200-03-05</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4"/>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5" w:name="_Toc19932"/>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"_Toc21079"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中央商务区凤凰海岸</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片区</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：460200-05-01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5"/>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6" w:name="_Toc8464"/>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"_Toc13694"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中央商务区月川</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村</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单元：460200-05-02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6"/>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7" w:name="_Toc32553"/>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"_Toc1550"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中央商务区海罗片区：460200-05-03</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7"/>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8" w:name="_Toc15088"/>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"_Toc7232"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中央商务区东岸单元：460200-05-04</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8"/>
    </w:p>
    <w:p>
      <w:pPr>
        <w:spacing w:line="560" w:lineRule="exact"/>
        <w:ind w:left="0" w:firstLine="0" w:firstLineChars="0"/>
        <w:outlineLvl w:val="2"/>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bookmarkStart w:id="139" w:name="_Toc11741"/>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"_Toc8246"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崖州湾科技城中片区：460200-0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-01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bookmarkEnd w:id="139"/>
    </w:p>
    <w:p>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outlineLvl w:val="2"/>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bookmarkStart w:id="140" w:name="_Toc10496"/>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begin"/>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instrText xml:space="preserve"> HYPERLINK \l "_Toc26148" </w:instrTex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三亚海棠湾国家海岸休闲片区：460200-07</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fldChar w:fldCharType="end"/>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-01</w:t>
      </w:r>
      <w:bookmarkEnd w:id="14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snapToGrid w:val="0"/>
      </w:pPr>
      <w:r>
        <w:rPr>
          <w:rStyle w:val="21"/>
        </w:rPr>
        <w:footnoteRef/>
      </w:r>
      <w:r>
        <w:t xml:space="preserve"> </w:t>
      </w:r>
      <w:r>
        <w:rPr>
          <w:rFonts w:hint="eastAsia"/>
          <w:lang w:eastAsia="zh-CN"/>
        </w:rPr>
        <w:t>《</w:t>
      </w:r>
      <w:r>
        <w:rPr>
          <w:rFonts w:hint="eastAsia"/>
          <w:lang w:val="en-US" w:eastAsia="zh-CN"/>
        </w:rPr>
        <w:t>三亚市国土空间总体规划（2021-2035年）</w:t>
      </w:r>
      <w:r>
        <w:rPr>
          <w:rFonts w:hint="eastAsia"/>
          <w:lang w:eastAsia="zh-CN"/>
        </w:rPr>
        <w:t>》（</w:t>
      </w:r>
      <w:r>
        <w:rPr>
          <w:rFonts w:hint="eastAsia"/>
          <w:lang w:val="en-US" w:eastAsia="zh-CN"/>
        </w:rPr>
        <w:t>公示版</w:t>
      </w:r>
      <w:r>
        <w:rPr>
          <w:rFonts w:hint="eastAsia"/>
          <w:lang w:eastAsia="zh-CN"/>
        </w:rPr>
        <w:t>）</w:t>
      </w:r>
    </w:p>
  </w:footnote>
  <w:footnote w:id="1">
    <w:p>
      <w:pPr>
        <w:pStyle w:val="12"/>
        <w:snapToGrid w:val="0"/>
      </w:pPr>
      <w:r>
        <w:rPr>
          <w:rStyle w:val="21"/>
        </w:rPr>
        <w:footnoteRef/>
      </w:r>
      <w:r>
        <w:t xml:space="preserve"> </w:t>
      </w:r>
      <w:r>
        <w:rPr>
          <w:rFonts w:hint="eastAsia"/>
          <w:lang w:eastAsia="zh-CN"/>
        </w:rPr>
        <w:t>《</w:t>
      </w:r>
      <w:r>
        <w:rPr>
          <w:rFonts w:hint="eastAsia"/>
          <w:lang w:val="en-US" w:eastAsia="zh-CN"/>
        </w:rPr>
        <w:t>三亚市国土空间总体规划（2021-2035年）</w:t>
      </w:r>
      <w:r>
        <w:rPr>
          <w:rFonts w:hint="eastAsia"/>
          <w:lang w:eastAsia="zh-CN"/>
        </w:rPr>
        <w:t>》（</w:t>
      </w:r>
      <w:r>
        <w:rPr>
          <w:rFonts w:hint="eastAsia"/>
          <w:lang w:val="en-US" w:eastAsia="zh-CN"/>
        </w:rPr>
        <w:t>公示版</w:t>
      </w:r>
      <w:r>
        <w:rPr>
          <w:rFonts w:hint="eastAsia"/>
          <w:lang w:eastAsia="zh-CN"/>
        </w:rPr>
        <w:t>）</w:t>
      </w:r>
    </w:p>
  </w:footnote>
  <w:footnote w:id="2">
    <w:p>
      <w:pPr>
        <w:pStyle w:val="12"/>
        <w:snapToGrid w:val="0"/>
        <w:rPr>
          <w:rFonts w:hint="eastAsia" w:eastAsia="宋体"/>
          <w:lang w:eastAsia="zh-CN"/>
        </w:rPr>
      </w:pPr>
      <w:r>
        <w:rPr>
          <w:rStyle w:val="21"/>
        </w:rPr>
        <w:footnoteRef/>
      </w:r>
      <w:r>
        <w:t xml:space="preserve"> </w:t>
      </w:r>
      <w:r>
        <w:rPr>
          <w:rFonts w:hint="eastAsia"/>
          <w:lang w:eastAsia="zh-CN"/>
        </w:rPr>
        <w:t>《</w:t>
      </w:r>
      <w:r>
        <w:rPr>
          <w:rFonts w:hint="eastAsia"/>
          <w:lang w:val="en-US" w:eastAsia="zh-CN"/>
        </w:rPr>
        <w:t>三亚市2023年年鉴</w:t>
      </w:r>
      <w:r>
        <w:rPr>
          <w:rFonts w:hint="eastAsia"/>
          <w:lang w:eastAsia="zh-CN"/>
        </w:rPr>
        <w:t>》</w:t>
      </w:r>
    </w:p>
  </w:footnote>
  <w:footnote w:id="3">
    <w:p>
      <w:pPr>
        <w:pStyle w:val="12"/>
        <w:rPr>
          <w:lang w:eastAsia="zh-CN"/>
        </w:rPr>
      </w:pPr>
      <w:r>
        <w:rPr>
          <w:rStyle w:val="21"/>
        </w:rPr>
        <w:footnoteRef/>
      </w:r>
      <w:r>
        <w:rPr>
          <w:lang w:eastAsia="zh-CN"/>
        </w:rPr>
        <w:t xml:space="preserve"> </w:t>
      </w:r>
      <w:r>
        <w:rPr>
          <w:rFonts w:hint="eastAsia"/>
          <w:lang w:eastAsia="zh-CN"/>
        </w:rPr>
        <w:t>数据来源：《2022年三亚市生态环境状况公报》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F8449"/>
    <w:multiLevelType w:val="singleLevel"/>
    <w:tmpl w:val="EFFF844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2EzYzE4ZTFmMzI2OThmNzJkMjQ0M2QzOTFlNTQifQ=="/>
    <w:docVar w:name="KSO_WPS_MARK_KEY" w:val="25aa3ef6-4741-491a-8bc9-71b5a6fe0852"/>
  </w:docVars>
  <w:rsids>
    <w:rsidRoot w:val="000E32CC"/>
    <w:rsid w:val="00002D2B"/>
    <w:rsid w:val="0000533B"/>
    <w:rsid w:val="0000548F"/>
    <w:rsid w:val="000136BA"/>
    <w:rsid w:val="00025A8A"/>
    <w:rsid w:val="00026FFB"/>
    <w:rsid w:val="000305BC"/>
    <w:rsid w:val="0003204C"/>
    <w:rsid w:val="0004385B"/>
    <w:rsid w:val="00044395"/>
    <w:rsid w:val="00044800"/>
    <w:rsid w:val="000451D3"/>
    <w:rsid w:val="000529A6"/>
    <w:rsid w:val="00054A17"/>
    <w:rsid w:val="00061690"/>
    <w:rsid w:val="00072419"/>
    <w:rsid w:val="00073068"/>
    <w:rsid w:val="00080560"/>
    <w:rsid w:val="00081B12"/>
    <w:rsid w:val="00086679"/>
    <w:rsid w:val="00086860"/>
    <w:rsid w:val="00091A45"/>
    <w:rsid w:val="00091BC9"/>
    <w:rsid w:val="00092D1C"/>
    <w:rsid w:val="000942B7"/>
    <w:rsid w:val="00096FD7"/>
    <w:rsid w:val="000B0AC1"/>
    <w:rsid w:val="000B11FD"/>
    <w:rsid w:val="000C7CEA"/>
    <w:rsid w:val="000D02F3"/>
    <w:rsid w:val="000D2655"/>
    <w:rsid w:val="000D299B"/>
    <w:rsid w:val="000D64C7"/>
    <w:rsid w:val="000E32CC"/>
    <w:rsid w:val="000E7207"/>
    <w:rsid w:val="000F39FE"/>
    <w:rsid w:val="000F7143"/>
    <w:rsid w:val="00115804"/>
    <w:rsid w:val="00121EBA"/>
    <w:rsid w:val="0012411F"/>
    <w:rsid w:val="001273F3"/>
    <w:rsid w:val="00130F5F"/>
    <w:rsid w:val="00131EDE"/>
    <w:rsid w:val="00136896"/>
    <w:rsid w:val="00141879"/>
    <w:rsid w:val="00154BE5"/>
    <w:rsid w:val="001565FA"/>
    <w:rsid w:val="0016318D"/>
    <w:rsid w:val="00172F54"/>
    <w:rsid w:val="00173663"/>
    <w:rsid w:val="0017603C"/>
    <w:rsid w:val="0017627C"/>
    <w:rsid w:val="001769C5"/>
    <w:rsid w:val="00181270"/>
    <w:rsid w:val="001838A3"/>
    <w:rsid w:val="00184393"/>
    <w:rsid w:val="001B7BEF"/>
    <w:rsid w:val="001B7E51"/>
    <w:rsid w:val="001C481E"/>
    <w:rsid w:val="001C58B9"/>
    <w:rsid w:val="001D0A90"/>
    <w:rsid w:val="001D1A8A"/>
    <w:rsid w:val="001D1DA0"/>
    <w:rsid w:val="001D2C08"/>
    <w:rsid w:val="001D3019"/>
    <w:rsid w:val="001D77A5"/>
    <w:rsid w:val="001F0589"/>
    <w:rsid w:val="001F3293"/>
    <w:rsid w:val="002029E1"/>
    <w:rsid w:val="00202A09"/>
    <w:rsid w:val="002047E5"/>
    <w:rsid w:val="00206D10"/>
    <w:rsid w:val="00212995"/>
    <w:rsid w:val="002267C1"/>
    <w:rsid w:val="002310FD"/>
    <w:rsid w:val="0023184B"/>
    <w:rsid w:val="002339FA"/>
    <w:rsid w:val="00237358"/>
    <w:rsid w:val="00237DD7"/>
    <w:rsid w:val="002503BC"/>
    <w:rsid w:val="002514F9"/>
    <w:rsid w:val="0025378B"/>
    <w:rsid w:val="00255CE9"/>
    <w:rsid w:val="00256B31"/>
    <w:rsid w:val="002570E2"/>
    <w:rsid w:val="00265F64"/>
    <w:rsid w:val="00266ED2"/>
    <w:rsid w:val="00267039"/>
    <w:rsid w:val="00267837"/>
    <w:rsid w:val="00274303"/>
    <w:rsid w:val="002754D8"/>
    <w:rsid w:val="002755E6"/>
    <w:rsid w:val="002765D8"/>
    <w:rsid w:val="00280BB5"/>
    <w:rsid w:val="00281107"/>
    <w:rsid w:val="00282033"/>
    <w:rsid w:val="00285AFE"/>
    <w:rsid w:val="002905FD"/>
    <w:rsid w:val="002909F6"/>
    <w:rsid w:val="002938E8"/>
    <w:rsid w:val="002A0714"/>
    <w:rsid w:val="002A2A44"/>
    <w:rsid w:val="002A3D45"/>
    <w:rsid w:val="002A4CEA"/>
    <w:rsid w:val="002B056A"/>
    <w:rsid w:val="002B473D"/>
    <w:rsid w:val="002E1F6F"/>
    <w:rsid w:val="002E7179"/>
    <w:rsid w:val="002F6B2E"/>
    <w:rsid w:val="00303393"/>
    <w:rsid w:val="00311BDE"/>
    <w:rsid w:val="00313E5E"/>
    <w:rsid w:val="0032165B"/>
    <w:rsid w:val="003301E9"/>
    <w:rsid w:val="00330F43"/>
    <w:rsid w:val="003500E3"/>
    <w:rsid w:val="00350B3C"/>
    <w:rsid w:val="00365A88"/>
    <w:rsid w:val="00365EC0"/>
    <w:rsid w:val="003700B4"/>
    <w:rsid w:val="00376421"/>
    <w:rsid w:val="003A0742"/>
    <w:rsid w:val="003A2F2A"/>
    <w:rsid w:val="003B75D0"/>
    <w:rsid w:val="003B7A9A"/>
    <w:rsid w:val="003C4252"/>
    <w:rsid w:val="003E0648"/>
    <w:rsid w:val="003E68AC"/>
    <w:rsid w:val="003E6958"/>
    <w:rsid w:val="003F0253"/>
    <w:rsid w:val="003F08DD"/>
    <w:rsid w:val="003F1C01"/>
    <w:rsid w:val="003F1D8C"/>
    <w:rsid w:val="003F55FD"/>
    <w:rsid w:val="003F57E1"/>
    <w:rsid w:val="003F6217"/>
    <w:rsid w:val="00401602"/>
    <w:rsid w:val="00404A37"/>
    <w:rsid w:val="00406F37"/>
    <w:rsid w:val="004071F7"/>
    <w:rsid w:val="0040771F"/>
    <w:rsid w:val="00416011"/>
    <w:rsid w:val="00420497"/>
    <w:rsid w:val="00426391"/>
    <w:rsid w:val="00427A47"/>
    <w:rsid w:val="00435E62"/>
    <w:rsid w:val="0045068C"/>
    <w:rsid w:val="0045371B"/>
    <w:rsid w:val="0046684B"/>
    <w:rsid w:val="004672AA"/>
    <w:rsid w:val="00471EF2"/>
    <w:rsid w:val="004749D8"/>
    <w:rsid w:val="00474EF6"/>
    <w:rsid w:val="00476F93"/>
    <w:rsid w:val="0048073A"/>
    <w:rsid w:val="004858D8"/>
    <w:rsid w:val="00490B57"/>
    <w:rsid w:val="00491990"/>
    <w:rsid w:val="00492C95"/>
    <w:rsid w:val="00496009"/>
    <w:rsid w:val="004A0699"/>
    <w:rsid w:val="004B136C"/>
    <w:rsid w:val="004B23A5"/>
    <w:rsid w:val="004B4409"/>
    <w:rsid w:val="004B4BD0"/>
    <w:rsid w:val="004E03F3"/>
    <w:rsid w:val="004F17EB"/>
    <w:rsid w:val="004F767B"/>
    <w:rsid w:val="00511412"/>
    <w:rsid w:val="00515842"/>
    <w:rsid w:val="0052393F"/>
    <w:rsid w:val="00523D03"/>
    <w:rsid w:val="0052462F"/>
    <w:rsid w:val="00533F46"/>
    <w:rsid w:val="00534E5B"/>
    <w:rsid w:val="00535E7A"/>
    <w:rsid w:val="00541518"/>
    <w:rsid w:val="005420B7"/>
    <w:rsid w:val="005451CB"/>
    <w:rsid w:val="00566580"/>
    <w:rsid w:val="005737C4"/>
    <w:rsid w:val="00584DDB"/>
    <w:rsid w:val="0059593A"/>
    <w:rsid w:val="005A4F52"/>
    <w:rsid w:val="005B002A"/>
    <w:rsid w:val="005B3853"/>
    <w:rsid w:val="005B5E5F"/>
    <w:rsid w:val="005C184F"/>
    <w:rsid w:val="005C1C76"/>
    <w:rsid w:val="005C3B0B"/>
    <w:rsid w:val="005C4B82"/>
    <w:rsid w:val="005D6C6C"/>
    <w:rsid w:val="005E3D0F"/>
    <w:rsid w:val="005F0FEF"/>
    <w:rsid w:val="005F2A3F"/>
    <w:rsid w:val="005F49F9"/>
    <w:rsid w:val="005F60ED"/>
    <w:rsid w:val="005F6831"/>
    <w:rsid w:val="005F7924"/>
    <w:rsid w:val="00603A5E"/>
    <w:rsid w:val="00604A76"/>
    <w:rsid w:val="00610960"/>
    <w:rsid w:val="00612DE6"/>
    <w:rsid w:val="00613565"/>
    <w:rsid w:val="006247FA"/>
    <w:rsid w:val="00627EF2"/>
    <w:rsid w:val="006349F4"/>
    <w:rsid w:val="00647BBA"/>
    <w:rsid w:val="0065697E"/>
    <w:rsid w:val="00657D83"/>
    <w:rsid w:val="00671914"/>
    <w:rsid w:val="00672F92"/>
    <w:rsid w:val="00677724"/>
    <w:rsid w:val="00685078"/>
    <w:rsid w:val="006876C3"/>
    <w:rsid w:val="006A1F8A"/>
    <w:rsid w:val="006B2953"/>
    <w:rsid w:val="006B4A27"/>
    <w:rsid w:val="006C503E"/>
    <w:rsid w:val="006D16D7"/>
    <w:rsid w:val="006D1F3B"/>
    <w:rsid w:val="006D5C73"/>
    <w:rsid w:val="006D6740"/>
    <w:rsid w:val="006E540D"/>
    <w:rsid w:val="006E67A3"/>
    <w:rsid w:val="006F0971"/>
    <w:rsid w:val="006F3569"/>
    <w:rsid w:val="006F7845"/>
    <w:rsid w:val="00700987"/>
    <w:rsid w:val="00701956"/>
    <w:rsid w:val="00703BC5"/>
    <w:rsid w:val="00711A83"/>
    <w:rsid w:val="0071279E"/>
    <w:rsid w:val="007229C5"/>
    <w:rsid w:val="00725155"/>
    <w:rsid w:val="007603A1"/>
    <w:rsid w:val="00770602"/>
    <w:rsid w:val="00770CA0"/>
    <w:rsid w:val="00775AE3"/>
    <w:rsid w:val="0077682E"/>
    <w:rsid w:val="00777762"/>
    <w:rsid w:val="00793A43"/>
    <w:rsid w:val="007961D2"/>
    <w:rsid w:val="007971D7"/>
    <w:rsid w:val="007B0D80"/>
    <w:rsid w:val="007B5F1C"/>
    <w:rsid w:val="007C191E"/>
    <w:rsid w:val="007C43CA"/>
    <w:rsid w:val="007C5455"/>
    <w:rsid w:val="007E0821"/>
    <w:rsid w:val="007F0DCD"/>
    <w:rsid w:val="00817F1B"/>
    <w:rsid w:val="00820F97"/>
    <w:rsid w:val="00831390"/>
    <w:rsid w:val="0083424C"/>
    <w:rsid w:val="0084008E"/>
    <w:rsid w:val="00842A33"/>
    <w:rsid w:val="008506DF"/>
    <w:rsid w:val="00854922"/>
    <w:rsid w:val="0085506C"/>
    <w:rsid w:val="0086291F"/>
    <w:rsid w:val="00881D3F"/>
    <w:rsid w:val="00886C3A"/>
    <w:rsid w:val="008A3080"/>
    <w:rsid w:val="008B0C27"/>
    <w:rsid w:val="008B1665"/>
    <w:rsid w:val="008C20B8"/>
    <w:rsid w:val="008C5BFC"/>
    <w:rsid w:val="008D3EEF"/>
    <w:rsid w:val="008D7B9A"/>
    <w:rsid w:val="00901109"/>
    <w:rsid w:val="00913FC1"/>
    <w:rsid w:val="00926D57"/>
    <w:rsid w:val="00932890"/>
    <w:rsid w:val="00934967"/>
    <w:rsid w:val="00945499"/>
    <w:rsid w:val="00951ABE"/>
    <w:rsid w:val="009528D7"/>
    <w:rsid w:val="00953343"/>
    <w:rsid w:val="0095789C"/>
    <w:rsid w:val="0096179F"/>
    <w:rsid w:val="00970F82"/>
    <w:rsid w:val="0097630F"/>
    <w:rsid w:val="009825B9"/>
    <w:rsid w:val="00994D0C"/>
    <w:rsid w:val="00995CB2"/>
    <w:rsid w:val="009A605C"/>
    <w:rsid w:val="009B1FD1"/>
    <w:rsid w:val="009B5C04"/>
    <w:rsid w:val="009B6667"/>
    <w:rsid w:val="009C2E97"/>
    <w:rsid w:val="009C757A"/>
    <w:rsid w:val="009D7717"/>
    <w:rsid w:val="009E0DFB"/>
    <w:rsid w:val="009E3089"/>
    <w:rsid w:val="009E3FA5"/>
    <w:rsid w:val="009F0B06"/>
    <w:rsid w:val="00A109AF"/>
    <w:rsid w:val="00A15F9C"/>
    <w:rsid w:val="00A16966"/>
    <w:rsid w:val="00A23285"/>
    <w:rsid w:val="00A254FA"/>
    <w:rsid w:val="00A25A3B"/>
    <w:rsid w:val="00A27BC7"/>
    <w:rsid w:val="00A31F45"/>
    <w:rsid w:val="00A6646B"/>
    <w:rsid w:val="00A66F80"/>
    <w:rsid w:val="00A7537D"/>
    <w:rsid w:val="00A76F3F"/>
    <w:rsid w:val="00A80B61"/>
    <w:rsid w:val="00A813F1"/>
    <w:rsid w:val="00A82785"/>
    <w:rsid w:val="00A84F19"/>
    <w:rsid w:val="00A8680E"/>
    <w:rsid w:val="00A90AB4"/>
    <w:rsid w:val="00A92372"/>
    <w:rsid w:val="00A963F2"/>
    <w:rsid w:val="00AA4100"/>
    <w:rsid w:val="00AB7978"/>
    <w:rsid w:val="00AD5BE1"/>
    <w:rsid w:val="00AE3369"/>
    <w:rsid w:val="00AE5D77"/>
    <w:rsid w:val="00AE5F50"/>
    <w:rsid w:val="00B02244"/>
    <w:rsid w:val="00B022EB"/>
    <w:rsid w:val="00B0623B"/>
    <w:rsid w:val="00B07906"/>
    <w:rsid w:val="00B13CFD"/>
    <w:rsid w:val="00B27F87"/>
    <w:rsid w:val="00B35ACB"/>
    <w:rsid w:val="00B40196"/>
    <w:rsid w:val="00B409EC"/>
    <w:rsid w:val="00B50DB2"/>
    <w:rsid w:val="00B571EB"/>
    <w:rsid w:val="00B677C0"/>
    <w:rsid w:val="00B7137A"/>
    <w:rsid w:val="00B763B3"/>
    <w:rsid w:val="00B77FE5"/>
    <w:rsid w:val="00B8450D"/>
    <w:rsid w:val="00B9173F"/>
    <w:rsid w:val="00B95FBB"/>
    <w:rsid w:val="00B96E1F"/>
    <w:rsid w:val="00BA4AA3"/>
    <w:rsid w:val="00BB2202"/>
    <w:rsid w:val="00BC5C54"/>
    <w:rsid w:val="00BC6B2A"/>
    <w:rsid w:val="00BD0B2F"/>
    <w:rsid w:val="00BD1F18"/>
    <w:rsid w:val="00BD7FF3"/>
    <w:rsid w:val="00BE632E"/>
    <w:rsid w:val="00BF0756"/>
    <w:rsid w:val="00C03566"/>
    <w:rsid w:val="00C10E10"/>
    <w:rsid w:val="00C130DE"/>
    <w:rsid w:val="00C165E0"/>
    <w:rsid w:val="00C252C3"/>
    <w:rsid w:val="00C3090A"/>
    <w:rsid w:val="00C32F83"/>
    <w:rsid w:val="00C37B87"/>
    <w:rsid w:val="00C4196D"/>
    <w:rsid w:val="00C47619"/>
    <w:rsid w:val="00C6429C"/>
    <w:rsid w:val="00C650F2"/>
    <w:rsid w:val="00C71231"/>
    <w:rsid w:val="00C73D53"/>
    <w:rsid w:val="00C82226"/>
    <w:rsid w:val="00C830C8"/>
    <w:rsid w:val="00C87540"/>
    <w:rsid w:val="00C947BC"/>
    <w:rsid w:val="00CA46FC"/>
    <w:rsid w:val="00CA7DB4"/>
    <w:rsid w:val="00CB0A75"/>
    <w:rsid w:val="00CB1101"/>
    <w:rsid w:val="00CB2571"/>
    <w:rsid w:val="00CB59EF"/>
    <w:rsid w:val="00CB6A73"/>
    <w:rsid w:val="00CB7628"/>
    <w:rsid w:val="00CD2E8F"/>
    <w:rsid w:val="00CE2DD3"/>
    <w:rsid w:val="00CF1439"/>
    <w:rsid w:val="00CF2BFF"/>
    <w:rsid w:val="00CF3D46"/>
    <w:rsid w:val="00D044E1"/>
    <w:rsid w:val="00D056A4"/>
    <w:rsid w:val="00D21875"/>
    <w:rsid w:val="00D26033"/>
    <w:rsid w:val="00D30D62"/>
    <w:rsid w:val="00D3716B"/>
    <w:rsid w:val="00D53621"/>
    <w:rsid w:val="00D56BCF"/>
    <w:rsid w:val="00D57409"/>
    <w:rsid w:val="00D57AA4"/>
    <w:rsid w:val="00D62033"/>
    <w:rsid w:val="00D6618D"/>
    <w:rsid w:val="00D702AA"/>
    <w:rsid w:val="00D707A8"/>
    <w:rsid w:val="00D71ED4"/>
    <w:rsid w:val="00D849ED"/>
    <w:rsid w:val="00D945DA"/>
    <w:rsid w:val="00D94F7C"/>
    <w:rsid w:val="00D966F1"/>
    <w:rsid w:val="00D9746B"/>
    <w:rsid w:val="00D97FA8"/>
    <w:rsid w:val="00DB4C8F"/>
    <w:rsid w:val="00DB605E"/>
    <w:rsid w:val="00DB639E"/>
    <w:rsid w:val="00DC016F"/>
    <w:rsid w:val="00DD1FB8"/>
    <w:rsid w:val="00DD4A1C"/>
    <w:rsid w:val="00DF4C5A"/>
    <w:rsid w:val="00DF4D73"/>
    <w:rsid w:val="00DF754F"/>
    <w:rsid w:val="00DF7804"/>
    <w:rsid w:val="00E01995"/>
    <w:rsid w:val="00E06CFA"/>
    <w:rsid w:val="00E07494"/>
    <w:rsid w:val="00E07BB0"/>
    <w:rsid w:val="00E13F02"/>
    <w:rsid w:val="00E14D48"/>
    <w:rsid w:val="00E159EC"/>
    <w:rsid w:val="00E24057"/>
    <w:rsid w:val="00E25661"/>
    <w:rsid w:val="00E30FFA"/>
    <w:rsid w:val="00E31397"/>
    <w:rsid w:val="00E3441D"/>
    <w:rsid w:val="00E37219"/>
    <w:rsid w:val="00E5284D"/>
    <w:rsid w:val="00E570E1"/>
    <w:rsid w:val="00E62D29"/>
    <w:rsid w:val="00E641A9"/>
    <w:rsid w:val="00E665F3"/>
    <w:rsid w:val="00E73F84"/>
    <w:rsid w:val="00E7482A"/>
    <w:rsid w:val="00E76EB5"/>
    <w:rsid w:val="00E80D30"/>
    <w:rsid w:val="00E81805"/>
    <w:rsid w:val="00E911E9"/>
    <w:rsid w:val="00E9240C"/>
    <w:rsid w:val="00E94A0E"/>
    <w:rsid w:val="00E97AC7"/>
    <w:rsid w:val="00EA4BAB"/>
    <w:rsid w:val="00EA6AEA"/>
    <w:rsid w:val="00EB226E"/>
    <w:rsid w:val="00EB5397"/>
    <w:rsid w:val="00EB6557"/>
    <w:rsid w:val="00EC03E7"/>
    <w:rsid w:val="00EC2507"/>
    <w:rsid w:val="00EC3CFA"/>
    <w:rsid w:val="00EC5B84"/>
    <w:rsid w:val="00ED2D36"/>
    <w:rsid w:val="00ED7A5F"/>
    <w:rsid w:val="00EE4A5B"/>
    <w:rsid w:val="00EE7A78"/>
    <w:rsid w:val="00F0029E"/>
    <w:rsid w:val="00F003D0"/>
    <w:rsid w:val="00F01246"/>
    <w:rsid w:val="00F01444"/>
    <w:rsid w:val="00F01605"/>
    <w:rsid w:val="00F01C8D"/>
    <w:rsid w:val="00F0495E"/>
    <w:rsid w:val="00F0681C"/>
    <w:rsid w:val="00F07FC4"/>
    <w:rsid w:val="00F1109D"/>
    <w:rsid w:val="00F2143D"/>
    <w:rsid w:val="00F2226D"/>
    <w:rsid w:val="00F2598A"/>
    <w:rsid w:val="00F308EB"/>
    <w:rsid w:val="00F32957"/>
    <w:rsid w:val="00F50EB0"/>
    <w:rsid w:val="00F52F5A"/>
    <w:rsid w:val="00F56404"/>
    <w:rsid w:val="00F73056"/>
    <w:rsid w:val="00F73592"/>
    <w:rsid w:val="00F772C3"/>
    <w:rsid w:val="00F879FD"/>
    <w:rsid w:val="00F87E20"/>
    <w:rsid w:val="00F959FF"/>
    <w:rsid w:val="00FA05D9"/>
    <w:rsid w:val="00FA295E"/>
    <w:rsid w:val="00FA51BB"/>
    <w:rsid w:val="00FA6001"/>
    <w:rsid w:val="00FC3374"/>
    <w:rsid w:val="00FC591D"/>
    <w:rsid w:val="00FC6FA1"/>
    <w:rsid w:val="00FD2472"/>
    <w:rsid w:val="00FD5075"/>
    <w:rsid w:val="00FE2A45"/>
    <w:rsid w:val="00FE337C"/>
    <w:rsid w:val="00FE5831"/>
    <w:rsid w:val="00FF4387"/>
    <w:rsid w:val="01132812"/>
    <w:rsid w:val="01545A05"/>
    <w:rsid w:val="01565C22"/>
    <w:rsid w:val="01576D3D"/>
    <w:rsid w:val="0159477C"/>
    <w:rsid w:val="016C0258"/>
    <w:rsid w:val="01AC75F0"/>
    <w:rsid w:val="01B118F3"/>
    <w:rsid w:val="01C4728B"/>
    <w:rsid w:val="01D630C2"/>
    <w:rsid w:val="020236B3"/>
    <w:rsid w:val="020B07BA"/>
    <w:rsid w:val="021B6523"/>
    <w:rsid w:val="02A47BDB"/>
    <w:rsid w:val="02CC7516"/>
    <w:rsid w:val="02E269EB"/>
    <w:rsid w:val="02E62FD5"/>
    <w:rsid w:val="02EB63D8"/>
    <w:rsid w:val="03092BBC"/>
    <w:rsid w:val="03197A20"/>
    <w:rsid w:val="035937A7"/>
    <w:rsid w:val="035E0664"/>
    <w:rsid w:val="03657106"/>
    <w:rsid w:val="0381685A"/>
    <w:rsid w:val="03C9544A"/>
    <w:rsid w:val="03EF7C67"/>
    <w:rsid w:val="04145B7C"/>
    <w:rsid w:val="04366E12"/>
    <w:rsid w:val="044E7866"/>
    <w:rsid w:val="04620439"/>
    <w:rsid w:val="04904FA7"/>
    <w:rsid w:val="04AD3DAA"/>
    <w:rsid w:val="04B8274F"/>
    <w:rsid w:val="04C75B38"/>
    <w:rsid w:val="04C954B6"/>
    <w:rsid w:val="04F27A0F"/>
    <w:rsid w:val="04F574FF"/>
    <w:rsid w:val="05237BC9"/>
    <w:rsid w:val="05241B93"/>
    <w:rsid w:val="05587534"/>
    <w:rsid w:val="057525B5"/>
    <w:rsid w:val="05A625A8"/>
    <w:rsid w:val="05DE69E2"/>
    <w:rsid w:val="05F96B7B"/>
    <w:rsid w:val="06563FCE"/>
    <w:rsid w:val="066458A3"/>
    <w:rsid w:val="066A1827"/>
    <w:rsid w:val="067C44CB"/>
    <w:rsid w:val="069461F2"/>
    <w:rsid w:val="06C76C7A"/>
    <w:rsid w:val="06D76C3C"/>
    <w:rsid w:val="06E25862"/>
    <w:rsid w:val="071A0213"/>
    <w:rsid w:val="072055D7"/>
    <w:rsid w:val="07227628"/>
    <w:rsid w:val="073A38EF"/>
    <w:rsid w:val="073F0F06"/>
    <w:rsid w:val="07547B37"/>
    <w:rsid w:val="076E1B66"/>
    <w:rsid w:val="07AD2313"/>
    <w:rsid w:val="07C75183"/>
    <w:rsid w:val="07CA07CF"/>
    <w:rsid w:val="07FA3C26"/>
    <w:rsid w:val="082127FF"/>
    <w:rsid w:val="0855653B"/>
    <w:rsid w:val="08BA0844"/>
    <w:rsid w:val="08CE0793"/>
    <w:rsid w:val="08E92ED7"/>
    <w:rsid w:val="093349B6"/>
    <w:rsid w:val="09485396"/>
    <w:rsid w:val="09581E0B"/>
    <w:rsid w:val="096772B3"/>
    <w:rsid w:val="098552F6"/>
    <w:rsid w:val="099966E0"/>
    <w:rsid w:val="09C4729C"/>
    <w:rsid w:val="09FB7366"/>
    <w:rsid w:val="0A1C108A"/>
    <w:rsid w:val="0A3463D4"/>
    <w:rsid w:val="0A481E7F"/>
    <w:rsid w:val="0A796A2A"/>
    <w:rsid w:val="0A8A393F"/>
    <w:rsid w:val="0AAD48D1"/>
    <w:rsid w:val="0AB3379D"/>
    <w:rsid w:val="0ABE7BB0"/>
    <w:rsid w:val="0ABF46E8"/>
    <w:rsid w:val="0AD84D40"/>
    <w:rsid w:val="0B075E44"/>
    <w:rsid w:val="0B245E0B"/>
    <w:rsid w:val="0B2662C4"/>
    <w:rsid w:val="0B30303F"/>
    <w:rsid w:val="0B3B4D18"/>
    <w:rsid w:val="0B3F2BFC"/>
    <w:rsid w:val="0B925AA8"/>
    <w:rsid w:val="0B995C03"/>
    <w:rsid w:val="0B9A711C"/>
    <w:rsid w:val="0BC672D8"/>
    <w:rsid w:val="0BCD0705"/>
    <w:rsid w:val="0BD95485"/>
    <w:rsid w:val="0BDC4F75"/>
    <w:rsid w:val="0C160487"/>
    <w:rsid w:val="0C193AD3"/>
    <w:rsid w:val="0C2A017E"/>
    <w:rsid w:val="0C5E509B"/>
    <w:rsid w:val="0C7B653C"/>
    <w:rsid w:val="0CA91AC0"/>
    <w:rsid w:val="0CAC044E"/>
    <w:rsid w:val="0CB93818"/>
    <w:rsid w:val="0CC47EE3"/>
    <w:rsid w:val="0CD9129D"/>
    <w:rsid w:val="0D1738AA"/>
    <w:rsid w:val="0D3B7826"/>
    <w:rsid w:val="0D41381C"/>
    <w:rsid w:val="0D4F2E5D"/>
    <w:rsid w:val="0D7816AE"/>
    <w:rsid w:val="0DA1438C"/>
    <w:rsid w:val="0DB953C9"/>
    <w:rsid w:val="0DD81F3D"/>
    <w:rsid w:val="0DDB093D"/>
    <w:rsid w:val="0DDF276A"/>
    <w:rsid w:val="0DF5204E"/>
    <w:rsid w:val="0DFE5C48"/>
    <w:rsid w:val="0E133931"/>
    <w:rsid w:val="0E2844A2"/>
    <w:rsid w:val="0E290ADD"/>
    <w:rsid w:val="0E611762"/>
    <w:rsid w:val="0E6E2B11"/>
    <w:rsid w:val="0E712079"/>
    <w:rsid w:val="0E83792A"/>
    <w:rsid w:val="0ED01837"/>
    <w:rsid w:val="0ED85EC8"/>
    <w:rsid w:val="0F0071CD"/>
    <w:rsid w:val="0F0865FE"/>
    <w:rsid w:val="0F300C22"/>
    <w:rsid w:val="0F360E40"/>
    <w:rsid w:val="0F623C8E"/>
    <w:rsid w:val="0F692FC4"/>
    <w:rsid w:val="0F7C43A0"/>
    <w:rsid w:val="0F7D669F"/>
    <w:rsid w:val="0F7F4595"/>
    <w:rsid w:val="0F8814B1"/>
    <w:rsid w:val="0F917E25"/>
    <w:rsid w:val="0FAA2CD3"/>
    <w:rsid w:val="102A2753"/>
    <w:rsid w:val="102B64CB"/>
    <w:rsid w:val="102E70B9"/>
    <w:rsid w:val="105842F0"/>
    <w:rsid w:val="105E1989"/>
    <w:rsid w:val="108F4812"/>
    <w:rsid w:val="1092654A"/>
    <w:rsid w:val="114E3E9E"/>
    <w:rsid w:val="117B0D8C"/>
    <w:rsid w:val="11814977"/>
    <w:rsid w:val="118B5473"/>
    <w:rsid w:val="11BB554E"/>
    <w:rsid w:val="12851EC3"/>
    <w:rsid w:val="129C3F9F"/>
    <w:rsid w:val="12B37994"/>
    <w:rsid w:val="12D31205"/>
    <w:rsid w:val="130D3C66"/>
    <w:rsid w:val="13247618"/>
    <w:rsid w:val="1340228E"/>
    <w:rsid w:val="13880AB1"/>
    <w:rsid w:val="13885DDF"/>
    <w:rsid w:val="13982ACB"/>
    <w:rsid w:val="13B80368"/>
    <w:rsid w:val="140974CB"/>
    <w:rsid w:val="14131750"/>
    <w:rsid w:val="14423DE3"/>
    <w:rsid w:val="14602CBD"/>
    <w:rsid w:val="146D4B03"/>
    <w:rsid w:val="147A2366"/>
    <w:rsid w:val="14936E3A"/>
    <w:rsid w:val="14964B30"/>
    <w:rsid w:val="14AD5701"/>
    <w:rsid w:val="14D06B69"/>
    <w:rsid w:val="14DC5FE6"/>
    <w:rsid w:val="14DE1D5E"/>
    <w:rsid w:val="15047114"/>
    <w:rsid w:val="152628CD"/>
    <w:rsid w:val="152D239E"/>
    <w:rsid w:val="15316332"/>
    <w:rsid w:val="154A11A2"/>
    <w:rsid w:val="154F5A12"/>
    <w:rsid w:val="158C5D2B"/>
    <w:rsid w:val="1592234A"/>
    <w:rsid w:val="15962639"/>
    <w:rsid w:val="15BB233D"/>
    <w:rsid w:val="15C34AB0"/>
    <w:rsid w:val="15EE5FD1"/>
    <w:rsid w:val="15F41353"/>
    <w:rsid w:val="15F641C4"/>
    <w:rsid w:val="15FA6033"/>
    <w:rsid w:val="16013F56"/>
    <w:rsid w:val="162278E8"/>
    <w:rsid w:val="16421E79"/>
    <w:rsid w:val="16AB6FA2"/>
    <w:rsid w:val="16E64EFA"/>
    <w:rsid w:val="17685555"/>
    <w:rsid w:val="1772678E"/>
    <w:rsid w:val="17AC4F25"/>
    <w:rsid w:val="17D65CC1"/>
    <w:rsid w:val="17E2339A"/>
    <w:rsid w:val="17F04AF5"/>
    <w:rsid w:val="17F43A5F"/>
    <w:rsid w:val="17FA63A6"/>
    <w:rsid w:val="180F222F"/>
    <w:rsid w:val="181151D1"/>
    <w:rsid w:val="184A43B1"/>
    <w:rsid w:val="18610CDC"/>
    <w:rsid w:val="187F094E"/>
    <w:rsid w:val="18846779"/>
    <w:rsid w:val="18D938BC"/>
    <w:rsid w:val="18E134FB"/>
    <w:rsid w:val="18E65B9C"/>
    <w:rsid w:val="19377C8F"/>
    <w:rsid w:val="19726F19"/>
    <w:rsid w:val="19844F7A"/>
    <w:rsid w:val="19961D23"/>
    <w:rsid w:val="19E2356C"/>
    <w:rsid w:val="19EC3B22"/>
    <w:rsid w:val="19F53DD2"/>
    <w:rsid w:val="1A4641B8"/>
    <w:rsid w:val="1A4C776A"/>
    <w:rsid w:val="1A6D569D"/>
    <w:rsid w:val="1A850577"/>
    <w:rsid w:val="1A8A3DEE"/>
    <w:rsid w:val="1A9544D2"/>
    <w:rsid w:val="1AB04A94"/>
    <w:rsid w:val="1ADF238C"/>
    <w:rsid w:val="1B311C1D"/>
    <w:rsid w:val="1B512147"/>
    <w:rsid w:val="1B6D5E12"/>
    <w:rsid w:val="1B717023"/>
    <w:rsid w:val="1B8847D2"/>
    <w:rsid w:val="1C105CC9"/>
    <w:rsid w:val="1CB65AA2"/>
    <w:rsid w:val="1CBD65D9"/>
    <w:rsid w:val="1CC23D13"/>
    <w:rsid w:val="1CC92D5E"/>
    <w:rsid w:val="1CDC3027"/>
    <w:rsid w:val="1CE668E2"/>
    <w:rsid w:val="1D1F2F14"/>
    <w:rsid w:val="1D70551D"/>
    <w:rsid w:val="1D790876"/>
    <w:rsid w:val="1D8E11FF"/>
    <w:rsid w:val="1DA77573"/>
    <w:rsid w:val="1DA819EC"/>
    <w:rsid w:val="1DAB0B08"/>
    <w:rsid w:val="1DC51D0D"/>
    <w:rsid w:val="1DCA4CF5"/>
    <w:rsid w:val="1DEF352E"/>
    <w:rsid w:val="1DEF3592"/>
    <w:rsid w:val="1E622A81"/>
    <w:rsid w:val="1E74728F"/>
    <w:rsid w:val="1E82375A"/>
    <w:rsid w:val="1EAB0F03"/>
    <w:rsid w:val="1EBF49AE"/>
    <w:rsid w:val="1F0776F5"/>
    <w:rsid w:val="1F282554"/>
    <w:rsid w:val="1F422EEA"/>
    <w:rsid w:val="1F4569EB"/>
    <w:rsid w:val="1F487B12"/>
    <w:rsid w:val="1F7F413E"/>
    <w:rsid w:val="1F947BE9"/>
    <w:rsid w:val="1F9531D8"/>
    <w:rsid w:val="1FA025B1"/>
    <w:rsid w:val="20077020"/>
    <w:rsid w:val="202F5DC5"/>
    <w:rsid w:val="2051053D"/>
    <w:rsid w:val="205D65B8"/>
    <w:rsid w:val="20666AB4"/>
    <w:rsid w:val="20711CD8"/>
    <w:rsid w:val="20CC5161"/>
    <w:rsid w:val="214C0886"/>
    <w:rsid w:val="21837F15"/>
    <w:rsid w:val="21863561"/>
    <w:rsid w:val="21BC502D"/>
    <w:rsid w:val="21C1459A"/>
    <w:rsid w:val="21C63924"/>
    <w:rsid w:val="21EC1864"/>
    <w:rsid w:val="222334A6"/>
    <w:rsid w:val="22596EC8"/>
    <w:rsid w:val="22A714C7"/>
    <w:rsid w:val="22B1460E"/>
    <w:rsid w:val="22B401C2"/>
    <w:rsid w:val="22BB222F"/>
    <w:rsid w:val="22C30D9A"/>
    <w:rsid w:val="22D77F19"/>
    <w:rsid w:val="232C15FF"/>
    <w:rsid w:val="237620B7"/>
    <w:rsid w:val="23E427C1"/>
    <w:rsid w:val="23F3421A"/>
    <w:rsid w:val="24124CC7"/>
    <w:rsid w:val="24234632"/>
    <w:rsid w:val="243C0D71"/>
    <w:rsid w:val="24741D97"/>
    <w:rsid w:val="248D0B95"/>
    <w:rsid w:val="251A4FAF"/>
    <w:rsid w:val="253E4358"/>
    <w:rsid w:val="255676EF"/>
    <w:rsid w:val="25825D4F"/>
    <w:rsid w:val="258400AE"/>
    <w:rsid w:val="2595289C"/>
    <w:rsid w:val="25A5657F"/>
    <w:rsid w:val="25A56C8A"/>
    <w:rsid w:val="25D54AB7"/>
    <w:rsid w:val="26084A60"/>
    <w:rsid w:val="26153106"/>
    <w:rsid w:val="26645926"/>
    <w:rsid w:val="266C7ADC"/>
    <w:rsid w:val="268946A0"/>
    <w:rsid w:val="268A102D"/>
    <w:rsid w:val="26AE4B2D"/>
    <w:rsid w:val="270A69E3"/>
    <w:rsid w:val="2714386D"/>
    <w:rsid w:val="273A0FF5"/>
    <w:rsid w:val="27740937"/>
    <w:rsid w:val="278D7C5E"/>
    <w:rsid w:val="279D2813"/>
    <w:rsid w:val="27CF3BF3"/>
    <w:rsid w:val="27E15995"/>
    <w:rsid w:val="27EE7F3A"/>
    <w:rsid w:val="282E1451"/>
    <w:rsid w:val="28463A4A"/>
    <w:rsid w:val="28464799"/>
    <w:rsid w:val="284F6DA3"/>
    <w:rsid w:val="288D1679"/>
    <w:rsid w:val="289724F8"/>
    <w:rsid w:val="28AA647F"/>
    <w:rsid w:val="28FC235B"/>
    <w:rsid w:val="29053906"/>
    <w:rsid w:val="293B10D5"/>
    <w:rsid w:val="293C62C3"/>
    <w:rsid w:val="29603C10"/>
    <w:rsid w:val="297F39EF"/>
    <w:rsid w:val="29893C1E"/>
    <w:rsid w:val="298A36D3"/>
    <w:rsid w:val="29903377"/>
    <w:rsid w:val="299464EC"/>
    <w:rsid w:val="29A41545"/>
    <w:rsid w:val="29A529F3"/>
    <w:rsid w:val="29F86FC6"/>
    <w:rsid w:val="2A326780"/>
    <w:rsid w:val="2A9071FF"/>
    <w:rsid w:val="2AC263B2"/>
    <w:rsid w:val="2AD37FB3"/>
    <w:rsid w:val="2ADE6251"/>
    <w:rsid w:val="2AED0BFA"/>
    <w:rsid w:val="2B042C07"/>
    <w:rsid w:val="2B1A6A75"/>
    <w:rsid w:val="2B294864"/>
    <w:rsid w:val="2B345DDC"/>
    <w:rsid w:val="2B4F70BA"/>
    <w:rsid w:val="2B7D7783"/>
    <w:rsid w:val="2BAD5B8F"/>
    <w:rsid w:val="2BD54CAD"/>
    <w:rsid w:val="2BDF043E"/>
    <w:rsid w:val="2BEE1282"/>
    <w:rsid w:val="2C0E017B"/>
    <w:rsid w:val="2C3F6143"/>
    <w:rsid w:val="2C3F712F"/>
    <w:rsid w:val="2C574478"/>
    <w:rsid w:val="2C955ABF"/>
    <w:rsid w:val="2CEA709A"/>
    <w:rsid w:val="2D0B5263"/>
    <w:rsid w:val="2D2500D2"/>
    <w:rsid w:val="2D393907"/>
    <w:rsid w:val="2DA21723"/>
    <w:rsid w:val="2DBF0B60"/>
    <w:rsid w:val="2DDE0EE7"/>
    <w:rsid w:val="2DDF2977"/>
    <w:rsid w:val="2E3D769E"/>
    <w:rsid w:val="2E6764C9"/>
    <w:rsid w:val="2E6E3B96"/>
    <w:rsid w:val="2E782484"/>
    <w:rsid w:val="2E917DAE"/>
    <w:rsid w:val="2EBC4A66"/>
    <w:rsid w:val="2F2B74F6"/>
    <w:rsid w:val="2F326AD7"/>
    <w:rsid w:val="2F4F2787"/>
    <w:rsid w:val="2F8F5CD7"/>
    <w:rsid w:val="30243E96"/>
    <w:rsid w:val="30247584"/>
    <w:rsid w:val="304E2F56"/>
    <w:rsid w:val="309F63EE"/>
    <w:rsid w:val="30A053D5"/>
    <w:rsid w:val="30A67541"/>
    <w:rsid w:val="30BC600E"/>
    <w:rsid w:val="31077AEF"/>
    <w:rsid w:val="310B75DF"/>
    <w:rsid w:val="3150593A"/>
    <w:rsid w:val="315E1E05"/>
    <w:rsid w:val="31A11CF2"/>
    <w:rsid w:val="31D45216"/>
    <w:rsid w:val="320A7EF5"/>
    <w:rsid w:val="32130E41"/>
    <w:rsid w:val="32406DCC"/>
    <w:rsid w:val="32544DA9"/>
    <w:rsid w:val="325D030E"/>
    <w:rsid w:val="327F2033"/>
    <w:rsid w:val="32AA4C73"/>
    <w:rsid w:val="32AF2CAE"/>
    <w:rsid w:val="32EA382C"/>
    <w:rsid w:val="33582884"/>
    <w:rsid w:val="335C05C6"/>
    <w:rsid w:val="338A588C"/>
    <w:rsid w:val="33AF4B9A"/>
    <w:rsid w:val="33B51A84"/>
    <w:rsid w:val="33B65B9E"/>
    <w:rsid w:val="33CA626A"/>
    <w:rsid w:val="34035192"/>
    <w:rsid w:val="342C61EA"/>
    <w:rsid w:val="342F1837"/>
    <w:rsid w:val="34525525"/>
    <w:rsid w:val="346A0AC1"/>
    <w:rsid w:val="347B0F20"/>
    <w:rsid w:val="348E21F9"/>
    <w:rsid w:val="34A02734"/>
    <w:rsid w:val="35102E73"/>
    <w:rsid w:val="352C5D76"/>
    <w:rsid w:val="352D221A"/>
    <w:rsid w:val="353B2893"/>
    <w:rsid w:val="355165D8"/>
    <w:rsid w:val="356B08D3"/>
    <w:rsid w:val="3598340C"/>
    <w:rsid w:val="36392E40"/>
    <w:rsid w:val="36394055"/>
    <w:rsid w:val="364A7C91"/>
    <w:rsid w:val="36511F38"/>
    <w:rsid w:val="36515AA0"/>
    <w:rsid w:val="366B6995"/>
    <w:rsid w:val="366E2AEA"/>
    <w:rsid w:val="36736683"/>
    <w:rsid w:val="36A75918"/>
    <w:rsid w:val="36B958EA"/>
    <w:rsid w:val="36E6072E"/>
    <w:rsid w:val="36E7289C"/>
    <w:rsid w:val="36F028B9"/>
    <w:rsid w:val="36F216A4"/>
    <w:rsid w:val="36F57FA4"/>
    <w:rsid w:val="372B2789"/>
    <w:rsid w:val="3789230C"/>
    <w:rsid w:val="378E0F6A"/>
    <w:rsid w:val="37B02C8E"/>
    <w:rsid w:val="37B84F8D"/>
    <w:rsid w:val="37DF20F8"/>
    <w:rsid w:val="37EF2217"/>
    <w:rsid w:val="380A1955"/>
    <w:rsid w:val="384A0CDF"/>
    <w:rsid w:val="384E7535"/>
    <w:rsid w:val="386527D0"/>
    <w:rsid w:val="386A5533"/>
    <w:rsid w:val="38795776"/>
    <w:rsid w:val="387B14EE"/>
    <w:rsid w:val="388D7C5B"/>
    <w:rsid w:val="38997BC6"/>
    <w:rsid w:val="38AF2F46"/>
    <w:rsid w:val="38C041FC"/>
    <w:rsid w:val="38CA494E"/>
    <w:rsid w:val="38D45F5D"/>
    <w:rsid w:val="38DE55D9"/>
    <w:rsid w:val="3902576C"/>
    <w:rsid w:val="39227583"/>
    <w:rsid w:val="395D5364"/>
    <w:rsid w:val="397F0B6A"/>
    <w:rsid w:val="3995213C"/>
    <w:rsid w:val="399C796E"/>
    <w:rsid w:val="3A185E09"/>
    <w:rsid w:val="3A2A24C8"/>
    <w:rsid w:val="3A2B0CF2"/>
    <w:rsid w:val="3A5D0A4B"/>
    <w:rsid w:val="3A634984"/>
    <w:rsid w:val="3A695377"/>
    <w:rsid w:val="3A6E06C0"/>
    <w:rsid w:val="3A972BA4"/>
    <w:rsid w:val="3A99268D"/>
    <w:rsid w:val="3B0C5526"/>
    <w:rsid w:val="3B830BE1"/>
    <w:rsid w:val="3BCD5CA7"/>
    <w:rsid w:val="3C105F79"/>
    <w:rsid w:val="3C1C08F2"/>
    <w:rsid w:val="3C1E0B0E"/>
    <w:rsid w:val="3C642299"/>
    <w:rsid w:val="3CA405CD"/>
    <w:rsid w:val="3CCA6FB6"/>
    <w:rsid w:val="3CFB4687"/>
    <w:rsid w:val="3D013885"/>
    <w:rsid w:val="3D52564E"/>
    <w:rsid w:val="3D7A7FC6"/>
    <w:rsid w:val="3D970F24"/>
    <w:rsid w:val="3DA610CE"/>
    <w:rsid w:val="3DD572C9"/>
    <w:rsid w:val="3DDF607B"/>
    <w:rsid w:val="3DF750DD"/>
    <w:rsid w:val="3E0F33D6"/>
    <w:rsid w:val="3E100389"/>
    <w:rsid w:val="3E214164"/>
    <w:rsid w:val="3E3D2DA2"/>
    <w:rsid w:val="3E482713"/>
    <w:rsid w:val="3E4E115E"/>
    <w:rsid w:val="3E77781D"/>
    <w:rsid w:val="3EBF1A09"/>
    <w:rsid w:val="3EF1250A"/>
    <w:rsid w:val="3EFD0EAF"/>
    <w:rsid w:val="3F057D64"/>
    <w:rsid w:val="3F483478"/>
    <w:rsid w:val="3F4B39E1"/>
    <w:rsid w:val="3F6C393F"/>
    <w:rsid w:val="3F7E2A77"/>
    <w:rsid w:val="3FB137D0"/>
    <w:rsid w:val="3FC03C8B"/>
    <w:rsid w:val="3FE67B95"/>
    <w:rsid w:val="40017A47"/>
    <w:rsid w:val="40020153"/>
    <w:rsid w:val="4004456F"/>
    <w:rsid w:val="40165111"/>
    <w:rsid w:val="40196B25"/>
    <w:rsid w:val="401D2567"/>
    <w:rsid w:val="40235AB4"/>
    <w:rsid w:val="402E18CB"/>
    <w:rsid w:val="40330901"/>
    <w:rsid w:val="40490124"/>
    <w:rsid w:val="40AD3CA6"/>
    <w:rsid w:val="40D07EFD"/>
    <w:rsid w:val="40D2705F"/>
    <w:rsid w:val="412D79B9"/>
    <w:rsid w:val="41303B4A"/>
    <w:rsid w:val="41313092"/>
    <w:rsid w:val="414C5B13"/>
    <w:rsid w:val="41B033EA"/>
    <w:rsid w:val="41F44B61"/>
    <w:rsid w:val="420600C8"/>
    <w:rsid w:val="420931F0"/>
    <w:rsid w:val="421C27EF"/>
    <w:rsid w:val="425F3C2F"/>
    <w:rsid w:val="4273155A"/>
    <w:rsid w:val="42893451"/>
    <w:rsid w:val="42D068DB"/>
    <w:rsid w:val="42D27F5D"/>
    <w:rsid w:val="4346094B"/>
    <w:rsid w:val="434B12A1"/>
    <w:rsid w:val="438A5148"/>
    <w:rsid w:val="43947096"/>
    <w:rsid w:val="43A7763B"/>
    <w:rsid w:val="43D9356D"/>
    <w:rsid w:val="440305EA"/>
    <w:rsid w:val="440525B4"/>
    <w:rsid w:val="440A603F"/>
    <w:rsid w:val="444011DC"/>
    <w:rsid w:val="4440539A"/>
    <w:rsid w:val="444A6219"/>
    <w:rsid w:val="4472719A"/>
    <w:rsid w:val="448A56A1"/>
    <w:rsid w:val="44C60379"/>
    <w:rsid w:val="44E328F5"/>
    <w:rsid w:val="44E55C8E"/>
    <w:rsid w:val="45006D0E"/>
    <w:rsid w:val="451D3CE0"/>
    <w:rsid w:val="452516DB"/>
    <w:rsid w:val="453E61CD"/>
    <w:rsid w:val="45AF0A29"/>
    <w:rsid w:val="45B61DB8"/>
    <w:rsid w:val="45C67B21"/>
    <w:rsid w:val="45FC3821"/>
    <w:rsid w:val="460A3EB2"/>
    <w:rsid w:val="46207219"/>
    <w:rsid w:val="46920001"/>
    <w:rsid w:val="46A5455F"/>
    <w:rsid w:val="46B2185A"/>
    <w:rsid w:val="46B275A8"/>
    <w:rsid w:val="46BF2EEE"/>
    <w:rsid w:val="46CC1167"/>
    <w:rsid w:val="46CE2CC8"/>
    <w:rsid w:val="46F5495F"/>
    <w:rsid w:val="46FC576D"/>
    <w:rsid w:val="47284585"/>
    <w:rsid w:val="475033B8"/>
    <w:rsid w:val="47543636"/>
    <w:rsid w:val="478D6CA7"/>
    <w:rsid w:val="47CC629E"/>
    <w:rsid w:val="47E30E5E"/>
    <w:rsid w:val="47E507CF"/>
    <w:rsid w:val="4814136D"/>
    <w:rsid w:val="483376F0"/>
    <w:rsid w:val="486F52F4"/>
    <w:rsid w:val="487B10CF"/>
    <w:rsid w:val="488175D2"/>
    <w:rsid w:val="489A151D"/>
    <w:rsid w:val="48AB1F1A"/>
    <w:rsid w:val="48FE47F7"/>
    <w:rsid w:val="491E4E6A"/>
    <w:rsid w:val="4925088A"/>
    <w:rsid w:val="499AAED9"/>
    <w:rsid w:val="499C7161"/>
    <w:rsid w:val="49CA66CF"/>
    <w:rsid w:val="49DC2B3C"/>
    <w:rsid w:val="49E8275C"/>
    <w:rsid w:val="49F25388"/>
    <w:rsid w:val="4A451479"/>
    <w:rsid w:val="4AA84AFD"/>
    <w:rsid w:val="4ADF18D6"/>
    <w:rsid w:val="4B0E61F2"/>
    <w:rsid w:val="4B3043BA"/>
    <w:rsid w:val="4B4851FC"/>
    <w:rsid w:val="4B615CF0"/>
    <w:rsid w:val="4B6D2F19"/>
    <w:rsid w:val="4B894565"/>
    <w:rsid w:val="4B8D35BB"/>
    <w:rsid w:val="4BA32DDE"/>
    <w:rsid w:val="4BBC17AA"/>
    <w:rsid w:val="4C024E20"/>
    <w:rsid w:val="4C121942"/>
    <w:rsid w:val="4C2763C0"/>
    <w:rsid w:val="4C3C28EB"/>
    <w:rsid w:val="4C5420C9"/>
    <w:rsid w:val="4C7BF73C"/>
    <w:rsid w:val="4C853291"/>
    <w:rsid w:val="4C9D782D"/>
    <w:rsid w:val="4CBD41C3"/>
    <w:rsid w:val="4CCE3E8B"/>
    <w:rsid w:val="4CD40D75"/>
    <w:rsid w:val="4CE76CFB"/>
    <w:rsid w:val="4D1D55D5"/>
    <w:rsid w:val="4D603416"/>
    <w:rsid w:val="4D616849"/>
    <w:rsid w:val="4D875DE8"/>
    <w:rsid w:val="4D9A0B42"/>
    <w:rsid w:val="4DA6191C"/>
    <w:rsid w:val="4DB56DF9"/>
    <w:rsid w:val="4DE85CF6"/>
    <w:rsid w:val="4DE894EA"/>
    <w:rsid w:val="4E0A0EF3"/>
    <w:rsid w:val="4E217FEA"/>
    <w:rsid w:val="4E3046D1"/>
    <w:rsid w:val="4E5B34FC"/>
    <w:rsid w:val="4E861DDE"/>
    <w:rsid w:val="4E913BAE"/>
    <w:rsid w:val="4EEF245F"/>
    <w:rsid w:val="4F17313C"/>
    <w:rsid w:val="4F361711"/>
    <w:rsid w:val="4F5543EF"/>
    <w:rsid w:val="4F561F16"/>
    <w:rsid w:val="4F7B7155"/>
    <w:rsid w:val="4F9F0661"/>
    <w:rsid w:val="4FB1539E"/>
    <w:rsid w:val="4FB50303"/>
    <w:rsid w:val="4FC26CE1"/>
    <w:rsid w:val="4FCD1346"/>
    <w:rsid w:val="4FCE5F50"/>
    <w:rsid w:val="4FCF4787"/>
    <w:rsid w:val="4FD204E1"/>
    <w:rsid w:val="50052816"/>
    <w:rsid w:val="50072B3F"/>
    <w:rsid w:val="500876B4"/>
    <w:rsid w:val="504346B5"/>
    <w:rsid w:val="504B134F"/>
    <w:rsid w:val="50502E09"/>
    <w:rsid w:val="50555C92"/>
    <w:rsid w:val="50597F0F"/>
    <w:rsid w:val="507F4289"/>
    <w:rsid w:val="50A32439"/>
    <w:rsid w:val="50C86E43"/>
    <w:rsid w:val="50E65976"/>
    <w:rsid w:val="510065DD"/>
    <w:rsid w:val="512153E3"/>
    <w:rsid w:val="51226553"/>
    <w:rsid w:val="513544C2"/>
    <w:rsid w:val="514D7AB2"/>
    <w:rsid w:val="51602114"/>
    <w:rsid w:val="5167040A"/>
    <w:rsid w:val="5194362F"/>
    <w:rsid w:val="51985856"/>
    <w:rsid w:val="51BA678C"/>
    <w:rsid w:val="51CB46D7"/>
    <w:rsid w:val="51F223CA"/>
    <w:rsid w:val="520B6FE7"/>
    <w:rsid w:val="52287B99"/>
    <w:rsid w:val="522C65CD"/>
    <w:rsid w:val="52377DDC"/>
    <w:rsid w:val="524B0717"/>
    <w:rsid w:val="525C5A95"/>
    <w:rsid w:val="529E1C09"/>
    <w:rsid w:val="52A92FB6"/>
    <w:rsid w:val="52C93019"/>
    <w:rsid w:val="52D10231"/>
    <w:rsid w:val="52D67B87"/>
    <w:rsid w:val="530E6406"/>
    <w:rsid w:val="531D5224"/>
    <w:rsid w:val="53612C0E"/>
    <w:rsid w:val="53874D93"/>
    <w:rsid w:val="538878CA"/>
    <w:rsid w:val="5396277D"/>
    <w:rsid w:val="53B76925"/>
    <w:rsid w:val="53C5255F"/>
    <w:rsid w:val="53C90B49"/>
    <w:rsid w:val="53D05825"/>
    <w:rsid w:val="541B3AFE"/>
    <w:rsid w:val="543B5A00"/>
    <w:rsid w:val="545302FB"/>
    <w:rsid w:val="54574766"/>
    <w:rsid w:val="547846DC"/>
    <w:rsid w:val="549A4653"/>
    <w:rsid w:val="54B0222F"/>
    <w:rsid w:val="54B72D9E"/>
    <w:rsid w:val="54E87AB4"/>
    <w:rsid w:val="54ED201E"/>
    <w:rsid w:val="5503669C"/>
    <w:rsid w:val="552D66B9"/>
    <w:rsid w:val="555658ED"/>
    <w:rsid w:val="55581995"/>
    <w:rsid w:val="556F5ADF"/>
    <w:rsid w:val="557C325B"/>
    <w:rsid w:val="558F1CDD"/>
    <w:rsid w:val="559429E1"/>
    <w:rsid w:val="55A33181"/>
    <w:rsid w:val="55B30672"/>
    <w:rsid w:val="55BA61C8"/>
    <w:rsid w:val="56463EF3"/>
    <w:rsid w:val="567315FF"/>
    <w:rsid w:val="56C65BD3"/>
    <w:rsid w:val="56FC15F5"/>
    <w:rsid w:val="573E1C0D"/>
    <w:rsid w:val="57B441C0"/>
    <w:rsid w:val="57C9597B"/>
    <w:rsid w:val="57EE3567"/>
    <w:rsid w:val="58003366"/>
    <w:rsid w:val="58150BC0"/>
    <w:rsid w:val="581B3CFC"/>
    <w:rsid w:val="582E3A30"/>
    <w:rsid w:val="583A23D4"/>
    <w:rsid w:val="5841606D"/>
    <w:rsid w:val="5847591C"/>
    <w:rsid w:val="585148CD"/>
    <w:rsid w:val="58A11A41"/>
    <w:rsid w:val="58A81A34"/>
    <w:rsid w:val="58B55EFF"/>
    <w:rsid w:val="58D07FB1"/>
    <w:rsid w:val="58F900F7"/>
    <w:rsid w:val="592B4413"/>
    <w:rsid w:val="593C68FB"/>
    <w:rsid w:val="593D36AC"/>
    <w:rsid w:val="596A1D6F"/>
    <w:rsid w:val="597C07CB"/>
    <w:rsid w:val="59A87812"/>
    <w:rsid w:val="59B044CD"/>
    <w:rsid w:val="5A027D02"/>
    <w:rsid w:val="5A582FE6"/>
    <w:rsid w:val="5A5F43AF"/>
    <w:rsid w:val="5A673229"/>
    <w:rsid w:val="5A695805"/>
    <w:rsid w:val="5A801309"/>
    <w:rsid w:val="5A875FCB"/>
    <w:rsid w:val="5AA848D4"/>
    <w:rsid w:val="5AAA4524"/>
    <w:rsid w:val="5AFE359D"/>
    <w:rsid w:val="5B5E462C"/>
    <w:rsid w:val="5B793987"/>
    <w:rsid w:val="5B9817E1"/>
    <w:rsid w:val="5C7B2AD2"/>
    <w:rsid w:val="5CB00EB7"/>
    <w:rsid w:val="5D057255"/>
    <w:rsid w:val="5D2C15D3"/>
    <w:rsid w:val="5D7243BE"/>
    <w:rsid w:val="5D8C4262"/>
    <w:rsid w:val="5DA668CD"/>
    <w:rsid w:val="5DBE67F9"/>
    <w:rsid w:val="5DD10F21"/>
    <w:rsid w:val="5E082F75"/>
    <w:rsid w:val="5E2C6C63"/>
    <w:rsid w:val="5E523871"/>
    <w:rsid w:val="5E7B54F5"/>
    <w:rsid w:val="5E952446"/>
    <w:rsid w:val="5E9F7435"/>
    <w:rsid w:val="5ECA4D99"/>
    <w:rsid w:val="5EDC7B5B"/>
    <w:rsid w:val="5F574F24"/>
    <w:rsid w:val="5F7A7C37"/>
    <w:rsid w:val="5F9C77E0"/>
    <w:rsid w:val="5FA62A45"/>
    <w:rsid w:val="5FBF1411"/>
    <w:rsid w:val="5FC53665"/>
    <w:rsid w:val="5FD44EBD"/>
    <w:rsid w:val="5FE031E6"/>
    <w:rsid w:val="602D4E8B"/>
    <w:rsid w:val="602F3042"/>
    <w:rsid w:val="605C1614"/>
    <w:rsid w:val="60765F74"/>
    <w:rsid w:val="608E4950"/>
    <w:rsid w:val="60BB2AC3"/>
    <w:rsid w:val="60F60688"/>
    <w:rsid w:val="60FE6303"/>
    <w:rsid w:val="61060E8B"/>
    <w:rsid w:val="61AE5BE1"/>
    <w:rsid w:val="61D324C9"/>
    <w:rsid w:val="62015D11"/>
    <w:rsid w:val="6234293F"/>
    <w:rsid w:val="62532FAD"/>
    <w:rsid w:val="627C4FD5"/>
    <w:rsid w:val="62995937"/>
    <w:rsid w:val="62AA0FF0"/>
    <w:rsid w:val="62CD780C"/>
    <w:rsid w:val="62F66E01"/>
    <w:rsid w:val="62F95BB0"/>
    <w:rsid w:val="63097573"/>
    <w:rsid w:val="630C046C"/>
    <w:rsid w:val="6373359C"/>
    <w:rsid w:val="63972996"/>
    <w:rsid w:val="63CA0C4E"/>
    <w:rsid w:val="63DF2082"/>
    <w:rsid w:val="63F06720"/>
    <w:rsid w:val="63FA510E"/>
    <w:rsid w:val="642C0F11"/>
    <w:rsid w:val="6439069F"/>
    <w:rsid w:val="646A2293"/>
    <w:rsid w:val="64B82FFF"/>
    <w:rsid w:val="65127CFB"/>
    <w:rsid w:val="652266CA"/>
    <w:rsid w:val="652B155D"/>
    <w:rsid w:val="65426D6C"/>
    <w:rsid w:val="654D7A05"/>
    <w:rsid w:val="65523BD7"/>
    <w:rsid w:val="655F791E"/>
    <w:rsid w:val="65AB2B63"/>
    <w:rsid w:val="6603474E"/>
    <w:rsid w:val="663F32AC"/>
    <w:rsid w:val="668313EA"/>
    <w:rsid w:val="66881B45"/>
    <w:rsid w:val="668F5FE1"/>
    <w:rsid w:val="66B477F6"/>
    <w:rsid w:val="66CD3003"/>
    <w:rsid w:val="66E14AF4"/>
    <w:rsid w:val="66E52B79"/>
    <w:rsid w:val="66FE6CC3"/>
    <w:rsid w:val="670D5784"/>
    <w:rsid w:val="675B2367"/>
    <w:rsid w:val="67602B70"/>
    <w:rsid w:val="67BF46A4"/>
    <w:rsid w:val="67DE49E8"/>
    <w:rsid w:val="67E13745"/>
    <w:rsid w:val="68120C78"/>
    <w:rsid w:val="68471387"/>
    <w:rsid w:val="687A465E"/>
    <w:rsid w:val="690A58B8"/>
    <w:rsid w:val="69203B5E"/>
    <w:rsid w:val="693B75B5"/>
    <w:rsid w:val="69521725"/>
    <w:rsid w:val="69893312"/>
    <w:rsid w:val="69B75B4F"/>
    <w:rsid w:val="69D65290"/>
    <w:rsid w:val="69FF347E"/>
    <w:rsid w:val="69FF6FDA"/>
    <w:rsid w:val="6A042E36"/>
    <w:rsid w:val="6A1D3904"/>
    <w:rsid w:val="6A2A59A5"/>
    <w:rsid w:val="6A6305AE"/>
    <w:rsid w:val="6A8C600F"/>
    <w:rsid w:val="6A9B71F6"/>
    <w:rsid w:val="6AA61B4B"/>
    <w:rsid w:val="6AAC48E5"/>
    <w:rsid w:val="6AF52110"/>
    <w:rsid w:val="6B1761E4"/>
    <w:rsid w:val="6B2D4646"/>
    <w:rsid w:val="6B5275DD"/>
    <w:rsid w:val="6B5A07C6"/>
    <w:rsid w:val="6B6749AF"/>
    <w:rsid w:val="6B7457A6"/>
    <w:rsid w:val="6BAD555D"/>
    <w:rsid w:val="6BCF6907"/>
    <w:rsid w:val="6C305B70"/>
    <w:rsid w:val="6C3C2767"/>
    <w:rsid w:val="6C693B7F"/>
    <w:rsid w:val="6C735A5D"/>
    <w:rsid w:val="6C976108"/>
    <w:rsid w:val="6CA10814"/>
    <w:rsid w:val="6CC2389A"/>
    <w:rsid w:val="6CDF73AD"/>
    <w:rsid w:val="6D3C7485"/>
    <w:rsid w:val="6D45564C"/>
    <w:rsid w:val="6D9E2FAE"/>
    <w:rsid w:val="6DFD53D6"/>
    <w:rsid w:val="6E150EC8"/>
    <w:rsid w:val="6E207FE3"/>
    <w:rsid w:val="6E2434B3"/>
    <w:rsid w:val="6E2C343B"/>
    <w:rsid w:val="6E7541DD"/>
    <w:rsid w:val="6E7C5613"/>
    <w:rsid w:val="6E9D1B01"/>
    <w:rsid w:val="6EBF4F8A"/>
    <w:rsid w:val="6F0B1BDE"/>
    <w:rsid w:val="6F143527"/>
    <w:rsid w:val="6F7B1AEF"/>
    <w:rsid w:val="6F7C07E5"/>
    <w:rsid w:val="6F857F81"/>
    <w:rsid w:val="6FA748C3"/>
    <w:rsid w:val="6FB673DF"/>
    <w:rsid w:val="6FD40F09"/>
    <w:rsid w:val="6FED7342"/>
    <w:rsid w:val="70117265"/>
    <w:rsid w:val="70253512"/>
    <w:rsid w:val="702E686B"/>
    <w:rsid w:val="70326008"/>
    <w:rsid w:val="70930EB2"/>
    <w:rsid w:val="71095EB5"/>
    <w:rsid w:val="712178CA"/>
    <w:rsid w:val="713701D5"/>
    <w:rsid w:val="715C3DD6"/>
    <w:rsid w:val="71A528B7"/>
    <w:rsid w:val="71A75AC9"/>
    <w:rsid w:val="71C32FE3"/>
    <w:rsid w:val="71DB657E"/>
    <w:rsid w:val="71F34C08"/>
    <w:rsid w:val="720F6228"/>
    <w:rsid w:val="72225F5B"/>
    <w:rsid w:val="726A7902"/>
    <w:rsid w:val="72941539"/>
    <w:rsid w:val="72A00B44"/>
    <w:rsid w:val="72A46970"/>
    <w:rsid w:val="72B31384"/>
    <w:rsid w:val="72C579E8"/>
    <w:rsid w:val="72C9360F"/>
    <w:rsid w:val="731534B1"/>
    <w:rsid w:val="73334198"/>
    <w:rsid w:val="735D2FC3"/>
    <w:rsid w:val="73751E5F"/>
    <w:rsid w:val="73C31078"/>
    <w:rsid w:val="74031DBD"/>
    <w:rsid w:val="74126B8B"/>
    <w:rsid w:val="74240E07"/>
    <w:rsid w:val="744321B9"/>
    <w:rsid w:val="746A29F4"/>
    <w:rsid w:val="7483518C"/>
    <w:rsid w:val="74C92ADB"/>
    <w:rsid w:val="74DD616A"/>
    <w:rsid w:val="74E76FE8"/>
    <w:rsid w:val="75263DB9"/>
    <w:rsid w:val="755216DA"/>
    <w:rsid w:val="7559229E"/>
    <w:rsid w:val="75694265"/>
    <w:rsid w:val="758C0EC1"/>
    <w:rsid w:val="759E1D9D"/>
    <w:rsid w:val="75BA60F8"/>
    <w:rsid w:val="75BC714E"/>
    <w:rsid w:val="75BD147D"/>
    <w:rsid w:val="75CA0B47"/>
    <w:rsid w:val="75E77983"/>
    <w:rsid w:val="75F75656"/>
    <w:rsid w:val="76037E52"/>
    <w:rsid w:val="762278F6"/>
    <w:rsid w:val="76536785"/>
    <w:rsid w:val="767533BB"/>
    <w:rsid w:val="767E1019"/>
    <w:rsid w:val="76880357"/>
    <w:rsid w:val="76BD6253"/>
    <w:rsid w:val="76C92E11"/>
    <w:rsid w:val="76F92D44"/>
    <w:rsid w:val="770C0F88"/>
    <w:rsid w:val="77512E3F"/>
    <w:rsid w:val="7775502F"/>
    <w:rsid w:val="77B75DC5"/>
    <w:rsid w:val="77D01FB6"/>
    <w:rsid w:val="77F475B7"/>
    <w:rsid w:val="78147DCE"/>
    <w:rsid w:val="783C3AEF"/>
    <w:rsid w:val="7840538D"/>
    <w:rsid w:val="7859644F"/>
    <w:rsid w:val="7868465C"/>
    <w:rsid w:val="78743E7A"/>
    <w:rsid w:val="788039DC"/>
    <w:rsid w:val="78AE3973"/>
    <w:rsid w:val="78B6565F"/>
    <w:rsid w:val="78DC3ED3"/>
    <w:rsid w:val="78E0447A"/>
    <w:rsid w:val="792720A9"/>
    <w:rsid w:val="7936053E"/>
    <w:rsid w:val="79420A9C"/>
    <w:rsid w:val="7956473D"/>
    <w:rsid w:val="79627585"/>
    <w:rsid w:val="797F0137"/>
    <w:rsid w:val="798C015E"/>
    <w:rsid w:val="79996ADB"/>
    <w:rsid w:val="79A04FE2"/>
    <w:rsid w:val="79BC0A44"/>
    <w:rsid w:val="79CB1C52"/>
    <w:rsid w:val="79F14C99"/>
    <w:rsid w:val="79F3642F"/>
    <w:rsid w:val="7A3D168D"/>
    <w:rsid w:val="7AC04563"/>
    <w:rsid w:val="7AC04896"/>
    <w:rsid w:val="7AF517A2"/>
    <w:rsid w:val="7B2D630D"/>
    <w:rsid w:val="7B4A5F80"/>
    <w:rsid w:val="7B512DF8"/>
    <w:rsid w:val="7BC41E31"/>
    <w:rsid w:val="7BED20D1"/>
    <w:rsid w:val="7C556B5F"/>
    <w:rsid w:val="7C724B2A"/>
    <w:rsid w:val="7C7750F6"/>
    <w:rsid w:val="7CD75B94"/>
    <w:rsid w:val="7CE34539"/>
    <w:rsid w:val="7D4274B2"/>
    <w:rsid w:val="7D4F4408"/>
    <w:rsid w:val="7D7B6E68"/>
    <w:rsid w:val="7D93388A"/>
    <w:rsid w:val="7DD32B96"/>
    <w:rsid w:val="7DFC3B04"/>
    <w:rsid w:val="7E0875AB"/>
    <w:rsid w:val="7E192908"/>
    <w:rsid w:val="7E623D54"/>
    <w:rsid w:val="7E865AC4"/>
    <w:rsid w:val="7E8F7E9B"/>
    <w:rsid w:val="7EA764A8"/>
    <w:rsid w:val="7EBE1731"/>
    <w:rsid w:val="7EEC3229"/>
    <w:rsid w:val="7EFE3508"/>
    <w:rsid w:val="7F01339C"/>
    <w:rsid w:val="7F485444"/>
    <w:rsid w:val="7F5D2DC8"/>
    <w:rsid w:val="7F8C704F"/>
    <w:rsid w:val="7FFD6985"/>
    <w:rsid w:val="D24D00A5"/>
    <w:rsid w:val="EF7FE4A0"/>
    <w:rsid w:val="F9F7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iPriority="99" w:semiHidden="0"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en-US" w:bidi="ar-SA"/>
    </w:rPr>
  </w:style>
  <w:style w:type="paragraph" w:styleId="2">
    <w:name w:val="heading 2"/>
    <w:basedOn w:val="1"/>
    <w:next w:val="1"/>
    <w:unhideWhenUsed/>
    <w:qFormat/>
    <w:uiPriority w:val="0"/>
    <w:pPr>
      <w:spacing w:line="578" w:lineRule="exact"/>
      <w:ind w:firstLine="643" w:firstLineChars="200"/>
      <w:jc w:val="both"/>
      <w:outlineLvl w:val="1"/>
    </w:pPr>
    <w:rPr>
      <w:rFonts w:hint="eastAsia" w:ascii="宋体" w:hAnsi="宋体" w:eastAsia="楷体"/>
      <w:b/>
      <w:bCs/>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style>
  <w:style w:type="paragraph" w:styleId="4">
    <w:name w:val="Salutation"/>
    <w:basedOn w:val="1"/>
    <w:next w:val="1"/>
    <w:qFormat/>
    <w:uiPriority w:val="0"/>
  </w:style>
  <w:style w:type="paragraph" w:styleId="5">
    <w:name w:val="Body Text"/>
    <w:basedOn w:val="1"/>
    <w:next w:val="6"/>
    <w:qFormat/>
    <w:uiPriority w:val="0"/>
    <w:pPr>
      <w:spacing w:line="420" w:lineRule="auto"/>
    </w:pPr>
    <w:rPr>
      <w:rFonts w:ascii="Times New Roman"/>
      <w:bCs/>
      <w:color w:val="000000"/>
    </w:rPr>
  </w:style>
  <w:style w:type="paragraph" w:styleId="6">
    <w:name w:val="Body Text 2"/>
    <w:basedOn w:val="1"/>
    <w:unhideWhenUsed/>
    <w:qFormat/>
    <w:uiPriority w:val="0"/>
    <w:pPr>
      <w:spacing w:after="120" w:line="480" w:lineRule="auto"/>
    </w:pPr>
  </w:style>
  <w:style w:type="paragraph" w:styleId="7">
    <w:name w:val="toc 3"/>
    <w:basedOn w:val="1"/>
    <w:next w:val="1"/>
    <w:unhideWhenUsed/>
    <w:qFormat/>
    <w:uiPriority w:val="39"/>
    <w:pPr>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footnote text"/>
    <w:basedOn w:val="1"/>
    <w:link w:val="31"/>
    <w:unhideWhenUsed/>
    <w:qFormat/>
    <w:uiPriority w:val="99"/>
    <w:pPr>
      <w:snapToGrid w:val="0"/>
    </w:pPr>
    <w:rPr>
      <w:sz w:val="18"/>
      <w:szCs w:val="18"/>
    </w:rPr>
  </w:style>
  <w:style w:type="paragraph" w:styleId="13">
    <w:name w:val="toc 2"/>
    <w:basedOn w:val="1"/>
    <w:next w:val="1"/>
    <w:unhideWhenUsed/>
    <w:qFormat/>
    <w:uiPriority w:val="39"/>
    <w:pPr>
      <w:ind w:left="420" w:leftChars="200"/>
    </w:pPr>
  </w:style>
  <w:style w:type="paragraph" w:styleId="14">
    <w:name w:val="annotation subject"/>
    <w:basedOn w:val="3"/>
    <w:next w:val="3"/>
    <w:link w:val="30"/>
    <w:unhideWhenUsed/>
    <w:qFormat/>
    <w:uiPriority w:val="99"/>
    <w:rPr>
      <w:b/>
      <w:bCs/>
    </w:rPr>
  </w:style>
  <w:style w:type="paragraph" w:styleId="15">
    <w:name w:val="Body Text First Indent"/>
    <w:basedOn w:val="5"/>
    <w:unhideWhenUsed/>
    <w:qFormat/>
    <w:uiPriority w:val="99"/>
    <w:pPr>
      <w:ind w:firstLine="420" w:firstLineChars="1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annotation reference"/>
    <w:basedOn w:val="18"/>
    <w:unhideWhenUsed/>
    <w:qFormat/>
    <w:uiPriority w:val="99"/>
    <w:rPr>
      <w:sz w:val="21"/>
      <w:szCs w:val="21"/>
    </w:rPr>
  </w:style>
  <w:style w:type="character" w:styleId="21">
    <w:name w:val="footnote reference"/>
    <w:basedOn w:val="18"/>
    <w:unhideWhenUsed/>
    <w:qFormat/>
    <w:uiPriority w:val="99"/>
    <w:rPr>
      <w:vertAlign w:val="superscript"/>
    </w:rPr>
  </w:style>
  <w:style w:type="character" w:customStyle="1" w:styleId="22">
    <w:name w:val="批注文字 Char"/>
    <w:basedOn w:val="18"/>
    <w:link w:val="3"/>
    <w:semiHidden/>
    <w:qFormat/>
    <w:uiPriority w:val="99"/>
    <w:rPr>
      <w:rFonts w:ascii="Calibri" w:hAnsi="Calibri"/>
      <w:sz w:val="24"/>
      <w:szCs w:val="24"/>
      <w:lang w:eastAsia="en-US"/>
    </w:rPr>
  </w:style>
  <w:style w:type="character" w:customStyle="1" w:styleId="23">
    <w:name w:val="页脚 Char"/>
    <w:basedOn w:val="18"/>
    <w:link w:val="9"/>
    <w:qFormat/>
    <w:uiPriority w:val="99"/>
    <w:rPr>
      <w:sz w:val="18"/>
      <w:szCs w:val="18"/>
    </w:rPr>
  </w:style>
  <w:style w:type="character" w:customStyle="1" w:styleId="24">
    <w:name w:val="页眉 Char"/>
    <w:basedOn w:val="18"/>
    <w:link w:val="10"/>
    <w:qFormat/>
    <w:uiPriority w:val="99"/>
    <w:rPr>
      <w:sz w:val="18"/>
      <w:szCs w:val="18"/>
    </w:rPr>
  </w:style>
  <w:style w:type="paragraph" w:customStyle="1" w:styleId="25">
    <w:name w:val="列出段落1"/>
    <w:basedOn w:val="1"/>
    <w:qFormat/>
    <w:uiPriority w:val="34"/>
    <w:pPr>
      <w:ind w:firstLine="420" w:firstLineChars="200"/>
    </w:pPr>
  </w:style>
  <w:style w:type="paragraph" w:customStyle="1" w:styleId="26">
    <w:name w:val="列出段落11"/>
    <w:basedOn w:val="1"/>
    <w:qFormat/>
    <w:uiPriority w:val="0"/>
    <w:pPr>
      <w:ind w:left="720"/>
    </w:pPr>
  </w:style>
  <w:style w:type="character" w:customStyle="1" w:styleId="27">
    <w:name w:val="font11"/>
    <w:basedOn w:val="18"/>
    <w:qFormat/>
    <w:uiPriority w:val="0"/>
    <w:rPr>
      <w:rFonts w:hint="eastAsia" w:ascii="宋体" w:hAnsi="宋体" w:eastAsia="宋体" w:cs="宋体"/>
      <w:color w:val="000000"/>
      <w:sz w:val="18"/>
      <w:szCs w:val="18"/>
      <w:u w:val="none"/>
    </w:rPr>
  </w:style>
  <w:style w:type="character" w:customStyle="1" w:styleId="28">
    <w:name w:val="font21"/>
    <w:basedOn w:val="18"/>
    <w:qFormat/>
    <w:uiPriority w:val="0"/>
    <w:rPr>
      <w:rFonts w:hint="default" w:ascii="Times New Roman" w:hAnsi="Times New Roman" w:cs="Times New Roman"/>
      <w:color w:val="000000"/>
      <w:sz w:val="18"/>
      <w:szCs w:val="18"/>
      <w:u w:val="none"/>
    </w:rPr>
  </w:style>
  <w:style w:type="character" w:customStyle="1" w:styleId="29">
    <w:name w:val="批注框文本 Char"/>
    <w:basedOn w:val="18"/>
    <w:link w:val="8"/>
    <w:semiHidden/>
    <w:qFormat/>
    <w:uiPriority w:val="99"/>
    <w:rPr>
      <w:rFonts w:ascii="Calibri" w:hAnsi="Calibri"/>
      <w:sz w:val="18"/>
      <w:szCs w:val="18"/>
      <w:lang w:eastAsia="en-US"/>
    </w:rPr>
  </w:style>
  <w:style w:type="character" w:customStyle="1" w:styleId="30">
    <w:name w:val="批注主题 Char"/>
    <w:basedOn w:val="22"/>
    <w:link w:val="14"/>
    <w:semiHidden/>
    <w:qFormat/>
    <w:uiPriority w:val="99"/>
    <w:rPr>
      <w:rFonts w:ascii="Calibri" w:hAnsi="Calibri"/>
      <w:b/>
      <w:bCs/>
      <w:sz w:val="24"/>
      <w:szCs w:val="24"/>
      <w:lang w:eastAsia="en-US"/>
    </w:rPr>
  </w:style>
  <w:style w:type="character" w:customStyle="1" w:styleId="31">
    <w:name w:val="脚注文本 Char"/>
    <w:basedOn w:val="18"/>
    <w:link w:val="12"/>
    <w:semiHidden/>
    <w:qFormat/>
    <w:uiPriority w:val="99"/>
    <w:rPr>
      <w:rFonts w:ascii="Calibri" w:hAnsi="Calibri"/>
      <w:sz w:val="18"/>
      <w:szCs w:val="18"/>
      <w:lang w:eastAsia="en-US"/>
    </w:rPr>
  </w:style>
  <w:style w:type="character" w:customStyle="1" w:styleId="32">
    <w:name w:val="font41"/>
    <w:basedOn w:val="18"/>
    <w:qFormat/>
    <w:uiPriority w:val="0"/>
    <w:rPr>
      <w:rFonts w:hint="default" w:ascii="Times New Roman" w:hAnsi="Times New Roman" w:cs="Times New Roman"/>
      <w:color w:val="000000"/>
      <w:sz w:val="18"/>
      <w:szCs w:val="18"/>
      <w:u w:val="none"/>
      <w:vertAlign w:val="superscript"/>
    </w:rPr>
  </w:style>
  <w:style w:type="character" w:customStyle="1" w:styleId="33">
    <w:name w:val="font31"/>
    <w:basedOn w:val="18"/>
    <w:qFormat/>
    <w:uiPriority w:val="0"/>
    <w:rPr>
      <w:rFonts w:hint="default" w:ascii="Times New Roman" w:hAnsi="Times New Roman" w:cs="Times New Roman"/>
      <w:color w:val="000000"/>
      <w:sz w:val="18"/>
      <w:szCs w:val="18"/>
      <w:u w:val="none"/>
    </w:rPr>
  </w:style>
  <w:style w:type="paragraph" w:customStyle="1" w:styleId="34">
    <w:name w:val="p3"/>
    <w:basedOn w:val="1"/>
    <w:qFormat/>
    <w:uiPriority w:val="0"/>
    <w:pPr>
      <w:spacing w:before="100" w:beforeAutospacing="1" w:after="100" w:afterAutospacing="1"/>
    </w:pPr>
    <w:rPr>
      <w:rFonts w:ascii="宋体" w:hAnsi="宋体" w:cs="宋体"/>
      <w:lang w:eastAsia="zh-CN"/>
    </w:rPr>
  </w:style>
  <w:style w:type="character" w:customStyle="1" w:styleId="35">
    <w:name w:val="s1"/>
    <w:basedOn w:val="18"/>
    <w:qFormat/>
    <w:uiPriority w:val="0"/>
  </w:style>
  <w:style w:type="paragraph" w:customStyle="1" w:styleId="36">
    <w:name w:val="p5"/>
    <w:basedOn w:val="1"/>
    <w:qFormat/>
    <w:uiPriority w:val="0"/>
    <w:pPr>
      <w:spacing w:before="100" w:beforeAutospacing="1" w:after="100" w:afterAutospacing="1"/>
    </w:pPr>
    <w:rPr>
      <w:rFonts w:ascii="宋体" w:hAnsi="宋体" w:cs="宋体"/>
      <w:lang w:eastAsia="zh-CN"/>
    </w:rPr>
  </w:style>
  <w:style w:type="character" w:customStyle="1" w:styleId="37">
    <w:name w:val="font71"/>
    <w:basedOn w:val="18"/>
    <w:qFormat/>
    <w:uiPriority w:val="0"/>
    <w:rPr>
      <w:rFonts w:hint="default" w:ascii="Times New Roman" w:hAnsi="Times New Roman" w:cs="Times New Roman"/>
      <w:color w:val="000000"/>
      <w:sz w:val="28"/>
      <w:szCs w:val="28"/>
      <w:u w:val="none"/>
    </w:rPr>
  </w:style>
  <w:style w:type="character" w:customStyle="1" w:styleId="38">
    <w:name w:val="font81"/>
    <w:basedOn w:val="18"/>
    <w:qFormat/>
    <w:uiPriority w:val="0"/>
    <w:rPr>
      <w:rFonts w:hint="eastAsia" w:ascii="宋体" w:hAnsi="宋体" w:eastAsia="宋体" w:cs="宋体"/>
      <w:color w:val="000000"/>
      <w:sz w:val="24"/>
      <w:szCs w:val="24"/>
      <w:u w:val="none"/>
    </w:rPr>
  </w:style>
  <w:style w:type="character" w:customStyle="1" w:styleId="39">
    <w:name w:val="font51"/>
    <w:basedOn w:val="18"/>
    <w:qFormat/>
    <w:uiPriority w:val="0"/>
    <w:rPr>
      <w:rFonts w:hint="default" w:ascii="Times New Roman" w:hAnsi="Times New Roman" w:cs="Times New Roman"/>
      <w:color w:val="000000"/>
      <w:sz w:val="28"/>
      <w:szCs w:val="28"/>
      <w:u w:val="none"/>
    </w:rPr>
  </w:style>
  <w:style w:type="character" w:customStyle="1" w:styleId="40">
    <w:name w:val="font6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三亚市</a:t>
            </a:r>
            <a:r>
              <a:rPr lang="en-US" altLang="zh-CN"/>
              <a:t>2018~2023</a:t>
            </a:r>
            <a:r>
              <a:rPr altLang="en-US"/>
              <a:t>年</a:t>
            </a:r>
            <a:r>
              <a:rPr lang="zh-CN" altLang="en-US"/>
              <a:t>生产总值统计</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生产总值（亿元）</c:v>
                </c:pt>
              </c:strCache>
            </c:strRef>
          </c:tx>
          <c:spPr>
            <a:solidFill>
              <a:schemeClr val="accent1"/>
            </a:solidFill>
            <a:ln>
              <a:noFill/>
            </a:ln>
            <a:effectLst/>
          </c:spPr>
          <c:invertIfNegative val="0"/>
          <c:dLbls>
            <c:dLbl>
              <c:idx val="1"/>
              <c:layout>
                <c:manualLayout>
                  <c:x val="-0.010625"/>
                  <c:y val="-0.02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625"/>
                  <c:y val="-0.037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4125"/>
                  <c:y val="-0.0411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5"/>
                  <c:y val="-0.0553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7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Sheet1!$B$2:$B$7</c:f>
              <c:numCache>
                <c:formatCode>General</c:formatCode>
                <c:ptCount val="6"/>
                <c:pt idx="0">
                  <c:v>595.5</c:v>
                </c:pt>
                <c:pt idx="1">
                  <c:v>677.9</c:v>
                </c:pt>
                <c:pt idx="2">
                  <c:v>695.4</c:v>
                </c:pt>
                <c:pt idx="3">
                  <c:v>835.4</c:v>
                </c:pt>
                <c:pt idx="4">
                  <c:v>847.1</c:v>
                </c:pt>
                <c:pt idx="5">
                  <c:v>971.3</c:v>
                </c:pt>
              </c:numCache>
            </c:numRef>
          </c:val>
        </c:ser>
        <c:ser>
          <c:idx val="4"/>
          <c:order val="4"/>
          <c:tx>
            <c:strRef>
              <c:f>Sheet1!$F$1</c:f>
              <c:strCache>
                <c:ptCount val="1"/>
                <c:pt idx="0">
                  <c:v>占全省地区生产总值比重</c:v>
                </c:pt>
              </c:strCache>
            </c:strRef>
          </c:tx>
          <c:spPr>
            <a:solidFill>
              <a:schemeClr val="accent5"/>
            </a:solidFill>
            <a:ln>
              <a:noFill/>
            </a:ln>
            <a:effectLst/>
          </c:spPr>
          <c:invertIfNegative val="0"/>
          <c:dLbls>
            <c:dLbl>
              <c:idx val="0"/>
              <c:layout>
                <c:manualLayout>
                  <c:x val="0.028125"/>
                  <c:y val="0.0128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1875"/>
                  <c:y val="0.0151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
                  <c:y val="0.0116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825"/>
                  <c:y val="0.0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
                  <c:y val="0.0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Sheet1!$F$2:$F$7</c:f>
              <c:numCache>
                <c:formatCode>0.00%</c:formatCode>
                <c:ptCount val="6"/>
                <c:pt idx="0">
                  <c:v>0.123</c:v>
                </c:pt>
                <c:pt idx="1">
                  <c:v>0.128</c:v>
                </c:pt>
                <c:pt idx="2">
                  <c:v>0.127</c:v>
                </c:pt>
                <c:pt idx="3">
                  <c:v>0.129</c:v>
                </c:pt>
                <c:pt idx="4">
                  <c:v>0.124</c:v>
                </c:pt>
                <c:pt idx="5">
                  <c:v>0.129</c:v>
                </c:pt>
              </c:numCache>
            </c:numRef>
          </c:val>
        </c:ser>
        <c:dLbls>
          <c:showLegendKey val="0"/>
          <c:showVal val="1"/>
          <c:showCatName val="0"/>
          <c:showSerName val="0"/>
          <c:showPercent val="0"/>
          <c:showBubbleSize val="0"/>
        </c:dLbls>
        <c:gapWidth val="150"/>
        <c:axId val="376244864"/>
        <c:axId val="405918080"/>
      </c:barChart>
      <c:lineChart>
        <c:grouping val="standard"/>
        <c:varyColors val="0"/>
        <c:ser>
          <c:idx val="1"/>
          <c:order val="1"/>
          <c:tx>
            <c:strRef>
              <c:f>Sheet1!$C$1</c:f>
              <c:strCache>
                <c:ptCount val="1"/>
                <c:pt idx="0">
                  <c:v>第一产业增加值（亿元）</c:v>
                </c:pt>
              </c:strCache>
            </c:strRef>
          </c:tx>
          <c:spPr>
            <a:ln w="28575" cap="rnd" cmpd="sng" algn="ctr">
              <a:solidFill>
                <a:schemeClr val="accent2"/>
              </a:solidFill>
              <a:prstDash val="solid"/>
              <a:round/>
            </a:ln>
            <a:effectLst/>
          </c:spPr>
          <c:marker>
            <c:symbol val="none"/>
          </c:marker>
          <c:dLbls>
            <c:dLbl>
              <c:idx val="0"/>
              <c:layout>
                <c:manualLayout>
                  <c:x val="0.017625"/>
                  <c:y val="-0.0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675"/>
                  <c:y val="-0.0188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75"/>
                  <c:y val="-0.0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375"/>
                  <c:y val="-0.0153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25"/>
                  <c:y val="0.016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Sheet1!$C$2:$C$7</c:f>
              <c:numCache>
                <c:formatCode>General</c:formatCode>
                <c:ptCount val="6"/>
                <c:pt idx="0">
                  <c:v>68.3</c:v>
                </c:pt>
                <c:pt idx="1">
                  <c:v>71.5</c:v>
                </c:pt>
                <c:pt idx="2">
                  <c:v>79.2</c:v>
                </c:pt>
                <c:pt idx="3">
                  <c:v>93.8</c:v>
                </c:pt>
                <c:pt idx="4">
                  <c:v>110.3</c:v>
                </c:pt>
                <c:pt idx="5">
                  <c:v>110.9</c:v>
                </c:pt>
              </c:numCache>
            </c:numRef>
          </c:val>
          <c:smooth val="0"/>
        </c:ser>
        <c:ser>
          <c:idx val="2"/>
          <c:order val="2"/>
          <c:tx>
            <c:strRef>
              <c:f>Sheet1!$D$1</c:f>
              <c:strCache>
                <c:ptCount val="1"/>
                <c:pt idx="0">
                  <c:v>第二产业增加值（亿元）</c:v>
                </c:pt>
              </c:strCache>
            </c:strRef>
          </c:tx>
          <c:spPr>
            <a:ln w="28575" cap="rnd" cmpd="sng" algn="ctr">
              <a:solidFill>
                <a:schemeClr val="accent3"/>
              </a:solidFill>
              <a:prstDash val="solid"/>
              <a:round/>
            </a:ln>
            <a:effectLst/>
          </c:spPr>
          <c:marker>
            <c:symbol val="none"/>
          </c:marker>
          <c:dLbls>
            <c:dLbl>
              <c:idx val="0"/>
              <c:layout>
                <c:manualLayout>
                  <c:x val="0"/>
                  <c:y val="-0.0506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875"/>
                  <c:y val="-0.049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875"/>
                  <c:y val="-0.0553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875"/>
                  <c:y val="-0.0446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875"/>
                  <c:y val="-0.049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75"/>
                  <c:y val="-0.036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Sheet1!$D$2:$D$7</c:f>
              <c:numCache>
                <c:formatCode>General</c:formatCode>
                <c:ptCount val="6"/>
                <c:pt idx="0">
                  <c:v>118.2</c:v>
                </c:pt>
                <c:pt idx="1">
                  <c:v>112.4</c:v>
                </c:pt>
                <c:pt idx="2">
                  <c:v>113.3</c:v>
                </c:pt>
                <c:pt idx="3">
                  <c:v>124.7</c:v>
                </c:pt>
                <c:pt idx="4">
                  <c:v>114.7</c:v>
                </c:pt>
                <c:pt idx="5">
                  <c:v>132.6</c:v>
                </c:pt>
              </c:numCache>
            </c:numRef>
          </c:val>
          <c:smooth val="0"/>
        </c:ser>
        <c:ser>
          <c:idx val="3"/>
          <c:order val="3"/>
          <c:tx>
            <c:strRef>
              <c:f>Sheet1!$E$1</c:f>
              <c:strCache>
                <c:ptCount val="1"/>
                <c:pt idx="0">
                  <c:v>第三产业增加值（亿元）</c:v>
                </c:pt>
              </c:strCache>
            </c:strRef>
          </c:tx>
          <c:spPr>
            <a:ln w="28575" cap="rnd" cmpd="sng" algn="ctr">
              <a:solidFill>
                <a:schemeClr val="accent4"/>
              </a:solidFill>
              <a:prstDash val="solid"/>
              <a:round/>
            </a:ln>
            <a:effectLst/>
          </c:spPr>
          <c:marker>
            <c:symbol val="none"/>
          </c:marker>
          <c:dLbls>
            <c:dLbl>
              <c:idx val="1"/>
              <c:layout>
                <c:manualLayout>
                  <c:x val="0.008"/>
                  <c:y val="0.0341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625"/>
                  <c:y val="0.0188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436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9625"/>
                  <c:y val="0.0388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Sheet1!$E$2:$E$7</c:f>
              <c:numCache>
                <c:formatCode>General</c:formatCode>
                <c:ptCount val="6"/>
                <c:pt idx="0">
                  <c:v>409</c:v>
                </c:pt>
                <c:pt idx="1">
                  <c:v>494</c:v>
                </c:pt>
                <c:pt idx="2">
                  <c:v>502.9</c:v>
                </c:pt>
                <c:pt idx="3">
                  <c:v>616.9</c:v>
                </c:pt>
                <c:pt idx="4">
                  <c:v>622</c:v>
                </c:pt>
                <c:pt idx="5">
                  <c:v>727.8</c:v>
                </c:pt>
              </c:numCache>
            </c:numRef>
          </c:val>
          <c:smooth val="0"/>
        </c:ser>
        <c:dLbls>
          <c:showLegendKey val="0"/>
          <c:showVal val="1"/>
          <c:showCatName val="0"/>
          <c:showSerName val="0"/>
          <c:showPercent val="0"/>
          <c:showBubbleSize val="0"/>
        </c:dLbls>
        <c:marker val="0"/>
        <c:smooth val="0"/>
        <c:axId val="405920384"/>
        <c:axId val="406889600"/>
      </c:lineChart>
      <c:catAx>
        <c:axId val="3762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918080"/>
        <c:crosses val="autoZero"/>
        <c:auto val="1"/>
        <c:lblAlgn val="ctr"/>
        <c:lblOffset val="100"/>
        <c:noMultiLvlLbl val="0"/>
      </c:catAx>
      <c:valAx>
        <c:axId val="405918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244864"/>
        <c:crosses val="autoZero"/>
        <c:crossBetween val="between"/>
      </c:valAx>
      <c:catAx>
        <c:axId val="405920384"/>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6889600"/>
        <c:crosses val="autoZero"/>
        <c:auto val="1"/>
        <c:lblAlgn val="ctr"/>
        <c:lblOffset val="100"/>
        <c:noMultiLvlLbl val="0"/>
      </c:catAx>
      <c:valAx>
        <c:axId val="406889600"/>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920384"/>
        <c:crosses val="max"/>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三亚市历年建筑业和房地产业发展情况</a:t>
            </a:r>
            <a:endParaRPr lang="zh-CN" altLang="en-US"/>
          </a:p>
        </c:rich>
      </c:tx>
      <c:layout/>
      <c:overlay val="0"/>
      <c:spPr>
        <a:noFill/>
        <a:ln>
          <a:noFill/>
        </a:ln>
        <a:effectLst/>
      </c:spPr>
    </c:title>
    <c:autoTitleDeleted val="0"/>
    <c:plotArea>
      <c:layout>
        <c:manualLayout>
          <c:layoutTarget val="inner"/>
          <c:xMode val="edge"/>
          <c:yMode val="edge"/>
          <c:x val="0.081075"/>
          <c:y val="0.127"/>
          <c:w val="0.8938"/>
          <c:h val="0.625233333333333"/>
        </c:manualLayout>
      </c:layout>
      <c:barChart>
        <c:barDir val="col"/>
        <c:grouping val="clustered"/>
        <c:varyColors val="0"/>
        <c:ser>
          <c:idx val="0"/>
          <c:order val="0"/>
          <c:tx>
            <c:strRef>
              <c:f>Sheet1!$B$1</c:f>
              <c:strCache>
                <c:ptCount val="1"/>
                <c:pt idx="0">
                  <c:v>建筑业增加值（亿元）</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Sheet1!$B$2:$B$7</c:f>
              <c:numCache>
                <c:formatCode>General</c:formatCode>
                <c:ptCount val="6"/>
                <c:pt idx="0">
                  <c:v>95.1</c:v>
                </c:pt>
                <c:pt idx="1">
                  <c:v>90.5</c:v>
                </c:pt>
                <c:pt idx="2">
                  <c:v>94.2</c:v>
                </c:pt>
                <c:pt idx="3">
                  <c:v>100.1</c:v>
                </c:pt>
                <c:pt idx="4">
                  <c:v>91.5</c:v>
                </c:pt>
                <c:pt idx="5">
                  <c:v>94.2</c:v>
                </c:pt>
              </c:numCache>
            </c:numRef>
          </c:val>
        </c:ser>
        <c:ser>
          <c:idx val="1"/>
          <c:order val="1"/>
          <c:tx>
            <c:strRef>
              <c:f>Sheet1!$C$1</c:f>
              <c:strCache>
                <c:ptCount val="1"/>
                <c:pt idx="0">
                  <c:v>全年签订合同额（亿元）</c:v>
                </c:pt>
              </c:strCache>
            </c:strRef>
          </c:tx>
          <c:spPr>
            <a:solidFill>
              <a:schemeClr val="accent2"/>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Sheet1!$C$2:$C$7</c:f>
              <c:numCache>
                <c:formatCode>General</c:formatCode>
                <c:ptCount val="6"/>
                <c:pt idx="0">
                  <c:v>82.2</c:v>
                </c:pt>
                <c:pt idx="1">
                  <c:v>100.6</c:v>
                </c:pt>
                <c:pt idx="2">
                  <c:v>97.1</c:v>
                </c:pt>
                <c:pt idx="3">
                  <c:v>109.5</c:v>
                </c:pt>
                <c:pt idx="4">
                  <c:v>115.4</c:v>
                </c:pt>
                <c:pt idx="5">
                  <c:v>105.2</c:v>
                </c:pt>
              </c:numCache>
            </c:numRef>
          </c:val>
        </c:ser>
        <c:ser>
          <c:idx val="2"/>
          <c:order val="2"/>
          <c:tx>
            <c:strRef>
              <c:f>Sheet1!$D$1</c:f>
              <c:strCache>
                <c:ptCount val="1"/>
                <c:pt idx="0">
                  <c:v>建筑业总产值（亿元）</c:v>
                </c:pt>
              </c:strCache>
            </c:strRef>
          </c:tx>
          <c:spPr>
            <a:solidFill>
              <a:schemeClr val="accent3"/>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Sheet1!$D$2:$D$7</c:f>
              <c:numCache>
                <c:formatCode>General</c:formatCode>
                <c:ptCount val="6"/>
                <c:pt idx="0">
                  <c:v>46.5</c:v>
                </c:pt>
                <c:pt idx="1">
                  <c:v>42.7</c:v>
                </c:pt>
                <c:pt idx="2">
                  <c:v>41.6</c:v>
                </c:pt>
                <c:pt idx="3">
                  <c:v>38.1</c:v>
                </c:pt>
                <c:pt idx="4">
                  <c:v>36.2</c:v>
                </c:pt>
                <c:pt idx="5">
                  <c:v>41.4</c:v>
                </c:pt>
              </c:numCache>
            </c:numRef>
          </c:val>
        </c:ser>
        <c:dLbls>
          <c:showLegendKey val="0"/>
          <c:showVal val="1"/>
          <c:showCatName val="0"/>
          <c:showSerName val="0"/>
          <c:showPercent val="0"/>
          <c:showBubbleSize val="0"/>
        </c:dLbls>
        <c:gapWidth val="150"/>
        <c:axId val="386620416"/>
        <c:axId val="388444928"/>
      </c:barChart>
      <c:lineChart>
        <c:grouping val="standard"/>
        <c:varyColors val="0"/>
        <c:ser>
          <c:idx val="3"/>
          <c:order val="3"/>
          <c:tx>
            <c:strRef>
              <c:f>Sheet1!$E$1</c:f>
              <c:strCache>
                <c:ptCount val="1"/>
                <c:pt idx="0">
                  <c:v>房屋施工面积（万㎡）</c:v>
                </c:pt>
              </c:strCache>
            </c:strRef>
          </c:tx>
          <c:spPr>
            <a:ln w="28575" cap="rnd" cmpd="sng" algn="ctr">
              <a:solidFill>
                <a:schemeClr val="accent4"/>
              </a:solidFill>
              <a:prstDash val="solid"/>
              <a:round/>
            </a:ln>
            <a:effectLst/>
          </c:spPr>
          <c:marker>
            <c:symbol val="none"/>
          </c:marker>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Sheet1!$E$2:$E$7</c:f>
              <c:numCache>
                <c:formatCode>General</c:formatCode>
                <c:ptCount val="6"/>
                <c:pt idx="0">
                  <c:v>1492.4</c:v>
                </c:pt>
                <c:pt idx="1">
                  <c:v>1225.3</c:v>
                </c:pt>
                <c:pt idx="2">
                  <c:v>1345.4</c:v>
                </c:pt>
                <c:pt idx="3">
                  <c:v>1460</c:v>
                </c:pt>
                <c:pt idx="4">
                  <c:v>1339.4</c:v>
                </c:pt>
                <c:pt idx="5">
                  <c:v>1258.3</c:v>
                </c:pt>
              </c:numCache>
            </c:numRef>
          </c:val>
          <c:smooth val="0"/>
        </c:ser>
        <c:ser>
          <c:idx val="4"/>
          <c:order val="4"/>
          <c:tx>
            <c:strRef>
              <c:f>Sheet1!$F$1</c:f>
              <c:strCache>
                <c:ptCount val="1"/>
                <c:pt idx="0">
                  <c:v>其中住宅施工面积（万㎡）</c:v>
                </c:pt>
              </c:strCache>
            </c:strRef>
          </c:tx>
          <c:spPr>
            <a:ln w="28575" cap="rnd" cmpd="sng" algn="ctr">
              <a:solidFill>
                <a:schemeClr val="accent5"/>
              </a:solidFill>
              <a:prstDash val="solid"/>
              <a:round/>
            </a:ln>
            <a:effectLst/>
          </c:spPr>
          <c:marker>
            <c:symbol val="none"/>
          </c:marker>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Sheet1!$F$2:$F$7</c:f>
              <c:numCache>
                <c:formatCode>General</c:formatCode>
                <c:ptCount val="6"/>
                <c:pt idx="0">
                  <c:v>1058.4</c:v>
                </c:pt>
                <c:pt idx="1">
                  <c:v>839.8</c:v>
                </c:pt>
                <c:pt idx="2">
                  <c:v>882</c:v>
                </c:pt>
                <c:pt idx="3">
                  <c:v>932.2</c:v>
                </c:pt>
                <c:pt idx="4">
                  <c:v>829.5</c:v>
                </c:pt>
                <c:pt idx="5">
                  <c:v>755</c:v>
                </c:pt>
              </c:numCache>
            </c:numRef>
          </c:val>
          <c:smooth val="0"/>
        </c:ser>
        <c:ser>
          <c:idx val="5"/>
          <c:order val="5"/>
          <c:tx>
            <c:strRef>
              <c:f>Sheet1!$G$1</c:f>
              <c:strCache>
                <c:ptCount val="1"/>
                <c:pt idx="0">
                  <c:v>其中办公楼施工面积（万㎡）</c:v>
                </c:pt>
              </c:strCache>
            </c:strRef>
          </c:tx>
          <c:spPr>
            <a:ln w="28575" cap="rnd" cmpd="sng" algn="ctr">
              <a:solidFill>
                <a:schemeClr val="accent6"/>
              </a:solidFill>
              <a:prstDash val="solid"/>
              <a:round/>
            </a:ln>
            <a:effectLst/>
          </c:spPr>
          <c:marker>
            <c:symbol val="none"/>
          </c:marker>
          <c:dLbls>
            <c:dLbl>
              <c:idx val="4"/>
              <c:layout>
                <c:manualLayout>
                  <c:x val="0.021875"/>
                  <c:y val="0.01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Sheet1!$G$2:$G$7</c:f>
              <c:numCache>
                <c:formatCode>General</c:formatCode>
                <c:ptCount val="6"/>
                <c:pt idx="0">
                  <c:v>40.6</c:v>
                </c:pt>
                <c:pt idx="1">
                  <c:v>35.6</c:v>
                </c:pt>
                <c:pt idx="2">
                  <c:v>55.2</c:v>
                </c:pt>
                <c:pt idx="3">
                  <c:v>62.8</c:v>
                </c:pt>
                <c:pt idx="4">
                  <c:v>98.2</c:v>
                </c:pt>
                <c:pt idx="5">
                  <c:v>129.3</c:v>
                </c:pt>
              </c:numCache>
            </c:numRef>
          </c:val>
          <c:smooth val="0"/>
        </c:ser>
        <c:ser>
          <c:idx val="6"/>
          <c:order val="6"/>
          <c:tx>
            <c:strRef>
              <c:f>Sheet1!$H$1</c:f>
              <c:strCache>
                <c:ptCount val="1"/>
                <c:pt idx="0">
                  <c:v>其中新开工面积（万㎡）</c:v>
                </c:pt>
              </c:strCache>
            </c:strRef>
          </c:tx>
          <c:spPr>
            <a:ln w="28575" cap="rnd" cmpd="sng" algn="ctr">
              <a:solidFill>
                <a:schemeClr val="accent1">
                  <a:lumMod val="60000"/>
                </a:schemeClr>
              </a:solidFill>
              <a:prstDash val="solid"/>
              <a:round/>
            </a:ln>
            <a:effectLst/>
          </c:spPr>
          <c:marker>
            <c:symbol val="none"/>
          </c:marker>
          <c:dLbls>
            <c:dLbl>
              <c:idx val="4"/>
              <c:layout>
                <c:manualLayout>
                  <c:x val="0.00925"/>
                  <c:y val="-0.0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Sheet1!$H$2:$H$7</c:f>
              <c:numCache>
                <c:formatCode>General</c:formatCode>
                <c:ptCount val="6"/>
                <c:pt idx="0">
                  <c:v>170.6</c:v>
                </c:pt>
                <c:pt idx="1">
                  <c:v>125.7</c:v>
                </c:pt>
                <c:pt idx="2">
                  <c:v>249.9</c:v>
                </c:pt>
                <c:pt idx="3">
                  <c:v>217.5</c:v>
                </c:pt>
                <c:pt idx="4">
                  <c:v>107.7</c:v>
                </c:pt>
                <c:pt idx="5">
                  <c:v>219.2</c:v>
                </c:pt>
              </c:numCache>
            </c:numRef>
          </c:val>
          <c:smooth val="0"/>
        </c:ser>
        <c:dLbls>
          <c:showLegendKey val="0"/>
          <c:showVal val="1"/>
          <c:showCatName val="0"/>
          <c:showSerName val="0"/>
          <c:showPercent val="0"/>
          <c:showBubbleSize val="0"/>
        </c:dLbls>
        <c:marker val="0"/>
        <c:smooth val="0"/>
        <c:axId val="386617344"/>
        <c:axId val="386618880"/>
      </c:lineChart>
      <c:catAx>
        <c:axId val="38661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618880"/>
        <c:crosses val="autoZero"/>
        <c:auto val="1"/>
        <c:lblAlgn val="ctr"/>
        <c:lblOffset val="100"/>
        <c:noMultiLvlLbl val="0"/>
      </c:catAx>
      <c:valAx>
        <c:axId val="3866188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617344"/>
        <c:crosses val="autoZero"/>
        <c:crossBetween val="between"/>
      </c:valAx>
      <c:catAx>
        <c:axId val="38662041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444928"/>
        <c:crosses val="autoZero"/>
        <c:auto val="1"/>
        <c:lblAlgn val="ctr"/>
        <c:lblOffset val="100"/>
        <c:noMultiLvlLbl val="0"/>
      </c:catAx>
      <c:valAx>
        <c:axId val="388444928"/>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620416"/>
        <c:crosses val="max"/>
        <c:crossBetween val="between"/>
      </c:valAx>
      <c:spPr>
        <a:noFill/>
        <a:ln>
          <a:noFill/>
        </a:ln>
        <a:effectLst/>
      </c:spPr>
    </c:plotArea>
    <c:legend>
      <c:legendPos val="b"/>
      <c:layout>
        <c:manualLayout>
          <c:xMode val="edge"/>
          <c:yMode val="edge"/>
          <c:x val="0.045875"/>
          <c:y val="0.8135"/>
          <c:w val="0.92075"/>
          <c:h val="0.1665"/>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三亚市</a:t>
            </a:r>
            <a:r>
              <a:rPr lang="en-US" altLang="zh-CN"/>
              <a:t>2020~2023</a:t>
            </a:r>
            <a:r>
              <a:rPr altLang="en-US"/>
              <a:t>年绿色建筑发展统计</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施工许可项目（个）</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171</c:v>
                </c:pt>
                <c:pt idx="1">
                  <c:v>185</c:v>
                </c:pt>
                <c:pt idx="2">
                  <c:v>100</c:v>
                </c:pt>
                <c:pt idx="3">
                  <c:v>175</c:v>
                </c:pt>
              </c:numCache>
            </c:numRef>
          </c:val>
        </c:ser>
        <c:ser>
          <c:idx val="1"/>
          <c:order val="1"/>
          <c:tx>
            <c:strRef>
              <c:f>Sheet1!$C$1</c:f>
              <c:strCache>
                <c:ptCount val="1"/>
                <c:pt idx="0">
                  <c:v>绿色建筑项目（个）</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Sheet1!$C$2:$C$5</c:f>
              <c:numCache>
                <c:formatCode>General</c:formatCode>
                <c:ptCount val="4"/>
                <c:pt idx="0">
                  <c:v>103</c:v>
                </c:pt>
                <c:pt idx="1">
                  <c:v>115</c:v>
                </c:pt>
                <c:pt idx="2">
                  <c:v>67</c:v>
                </c:pt>
                <c:pt idx="3">
                  <c:v>113</c:v>
                </c:pt>
              </c:numCache>
            </c:numRef>
          </c:val>
        </c:ser>
        <c:ser>
          <c:idx val="2"/>
          <c:order val="2"/>
          <c:tx>
            <c:strRef>
              <c:f>Sheet1!$D$1</c:f>
              <c:strCache>
                <c:ptCount val="1"/>
                <c:pt idx="0">
                  <c:v>建筑面积（万㎡）</c:v>
                </c:pt>
              </c:strCache>
            </c:strRef>
          </c:tx>
          <c:spPr>
            <a:solidFill>
              <a:schemeClr val="accent3"/>
            </a:solidFill>
            <a:ln>
              <a:noFill/>
            </a:ln>
            <a:effectLst/>
          </c:spPr>
          <c:invertIfNegative val="0"/>
          <c:dLbls>
            <c:dLbl>
              <c:idx val="0"/>
              <c:layout>
                <c:manualLayout>
                  <c:x val="-0.03275"/>
                  <c:y val="0.065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7"/>
                  <c:y val="0.064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Sheet1!$D$2:$D$5</c:f>
              <c:numCache>
                <c:formatCode>General</c:formatCode>
                <c:ptCount val="4"/>
                <c:pt idx="0">
                  <c:v>756</c:v>
                </c:pt>
                <c:pt idx="1">
                  <c:v>674</c:v>
                </c:pt>
                <c:pt idx="2">
                  <c:v>495.2</c:v>
                </c:pt>
                <c:pt idx="3">
                  <c:v>786.5</c:v>
                </c:pt>
              </c:numCache>
            </c:numRef>
          </c:val>
        </c:ser>
        <c:ser>
          <c:idx val="3"/>
          <c:order val="3"/>
          <c:tx>
            <c:strRef>
              <c:f>Sheet1!$E$1</c:f>
              <c:strCache>
                <c:ptCount val="1"/>
                <c:pt idx="0">
                  <c:v>绿色建筑面积（万㎡）</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Sheet1!$E$2:$E$5</c:f>
              <c:numCache>
                <c:formatCode>General</c:formatCode>
                <c:ptCount val="4"/>
                <c:pt idx="0">
                  <c:v>671</c:v>
                </c:pt>
                <c:pt idx="1">
                  <c:v>650</c:v>
                </c:pt>
                <c:pt idx="2">
                  <c:v>455.6</c:v>
                </c:pt>
                <c:pt idx="3">
                  <c:v>736.6</c:v>
                </c:pt>
              </c:numCache>
            </c:numRef>
          </c:val>
        </c:ser>
        <c:dLbls>
          <c:showLegendKey val="0"/>
          <c:showVal val="1"/>
          <c:showCatName val="0"/>
          <c:showSerName val="0"/>
          <c:showPercent val="0"/>
          <c:showBubbleSize val="0"/>
        </c:dLbls>
        <c:gapWidth val="219"/>
        <c:overlap val="-27"/>
        <c:axId val="902549218"/>
        <c:axId val="525261404"/>
      </c:barChart>
      <c:lineChart>
        <c:grouping val="standard"/>
        <c:varyColors val="0"/>
        <c:ser>
          <c:idx val="4"/>
          <c:order val="4"/>
          <c:tx>
            <c:strRef>
              <c:f>Sheet1!$F$1</c:f>
              <c:strCache>
                <c:ptCount val="1"/>
                <c:pt idx="0">
                  <c:v>项目数量占比</c:v>
                </c:pt>
              </c:strCache>
            </c:strRef>
          </c:tx>
          <c:spPr>
            <a:ln w="28575" cap="rnd">
              <a:solidFill>
                <a:schemeClr val="accent5"/>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Sheet1!$F$2:$F$5</c:f>
              <c:numCache>
                <c:formatCode>General</c:formatCode>
                <c:ptCount val="4"/>
                <c:pt idx="0">
                  <c:v>60</c:v>
                </c:pt>
                <c:pt idx="1">
                  <c:v>62</c:v>
                </c:pt>
                <c:pt idx="2">
                  <c:v>67</c:v>
                </c:pt>
                <c:pt idx="3">
                  <c:v>64.5</c:v>
                </c:pt>
              </c:numCache>
            </c:numRef>
          </c:val>
          <c:smooth val="0"/>
        </c:ser>
        <c:ser>
          <c:idx val="5"/>
          <c:order val="5"/>
          <c:tx>
            <c:strRef>
              <c:f>Sheet1!$G$1</c:f>
              <c:strCache>
                <c:ptCount val="1"/>
                <c:pt idx="0">
                  <c:v>绿色建筑占比</c:v>
                </c:pt>
              </c:strCache>
            </c:strRef>
          </c:tx>
          <c:spPr>
            <a:ln w="28575" cap="rnd">
              <a:solidFill>
                <a:schemeClr val="accent6"/>
              </a:solidFill>
              <a:round/>
            </a:ln>
            <a:effectLst/>
          </c:spPr>
          <c:marker>
            <c:symbol val="none"/>
          </c:marker>
          <c:dLbls>
            <c:dLbl>
              <c:idx val="0"/>
              <c:layout>
                <c:manualLayout>
                  <c:x val="-0.025625"/>
                  <c:y val="-0.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275"/>
                  <c:y val="-0.0188333333333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Sheet1!$G$2:$G$5</c:f>
              <c:numCache>
                <c:formatCode>General</c:formatCode>
                <c:ptCount val="4"/>
                <c:pt idx="0">
                  <c:v>88</c:v>
                </c:pt>
                <c:pt idx="1">
                  <c:v>96</c:v>
                </c:pt>
                <c:pt idx="2">
                  <c:v>92</c:v>
                </c:pt>
                <c:pt idx="3">
                  <c:v>93.6</c:v>
                </c:pt>
              </c:numCache>
            </c:numRef>
          </c:val>
          <c:smooth val="0"/>
        </c:ser>
        <c:dLbls>
          <c:showLegendKey val="0"/>
          <c:showVal val="1"/>
          <c:showCatName val="0"/>
          <c:showSerName val="0"/>
          <c:showPercent val="0"/>
          <c:showBubbleSize val="0"/>
        </c:dLbls>
        <c:marker val="0"/>
        <c:smooth val="0"/>
        <c:axId val="118152740"/>
        <c:axId val="707143380"/>
      </c:lineChart>
      <c:catAx>
        <c:axId val="9025492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261404"/>
        <c:crosses val="autoZero"/>
        <c:auto val="1"/>
        <c:lblAlgn val="ctr"/>
        <c:lblOffset val="100"/>
        <c:noMultiLvlLbl val="0"/>
      </c:catAx>
      <c:valAx>
        <c:axId val="5252614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549218"/>
        <c:crosses val="autoZero"/>
        <c:crossBetween val="between"/>
      </c:valAx>
      <c:catAx>
        <c:axId val="11815274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143380"/>
        <c:crosses val="autoZero"/>
        <c:auto val="1"/>
        <c:lblAlgn val="ctr"/>
        <c:lblOffset val="100"/>
        <c:noMultiLvlLbl val="0"/>
      </c:catAx>
      <c:valAx>
        <c:axId val="707143380"/>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152740"/>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45</Pages>
  <Words>13582</Words>
  <Characters>14943</Characters>
  <Lines>1294</Lines>
  <Paragraphs>364</Paragraphs>
  <TotalTime>0</TotalTime>
  <ScaleCrop>false</ScaleCrop>
  <LinksUpToDate>false</LinksUpToDate>
  <CharactersWithSpaces>15120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2024-06-08T08:14:00Z</dcterms:created>
  <dc:creator>张云娟</dc:creator>
  <cp:lastModifiedBy>王艺权</cp:lastModifiedBy>
  <cp:lastPrinted>2024-07-18T08:24:00Z</cp:lastPrinted>
  <dcterms:modified xsi:type="dcterms:W3CDTF">2025-09-19T02:50:28Z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55F2848B250C433887967EE1D26CE064</vt:lpwstr>
  </property>
  <property fmtid="{D5CDD505-2E9C-101B-9397-08002B2CF9AE}" pid="4" name="KSOTemplateDocerSaveRecord">
    <vt:lpwstr>eyJoZGlkIjoiYTI0Y2EzYzE4ZTFmMzI2OThmNzJkMjQ0M2QzOTFlNTQiLCJ1c2VySWQiOiIzMjIzNjA5MzgifQ==</vt:lpwstr>
  </property>
</Properties>
</file>