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《三亚市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青苗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过渡公寓管理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办法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》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政策解读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/>
        <w:textAlignment w:val="auto"/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为进一步提升本市青年人才住房保障水平，解决青年人才就业创业的后顾之忧，根据《三亚市人才发展“十四五”规划》（三办发〔2021〕46号）、《三亚市人才住房保障</w:t>
      </w:r>
      <w:bookmarkStart w:id="0" w:name="_GoBack"/>
      <w:bookmarkEnd w:id="0"/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实施细则》（三府办〔2019〕105号）等相关文件精神，结合本市实际情况，制定了《三亚市青苗过渡公寓管理办法（试行）》，现将有关事项解读如下：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30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一、《办法》的主要内容有哪些？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答：《办法》全文共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章，共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条。具体内容：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总则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立法目的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适用范围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、组织分工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（二）保障对象。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保障对象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的条件和范围，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并对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不纳入青苗租赁公寓保障范围等情况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作出规定；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（三）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房源管理。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明确了房源渠道、房源信息、租金标准、减免事项；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申报流程。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明确了申报流程，对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房源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申请、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受理、审核、分配、备案等各个环节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作出规定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）监督管理。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对合同签订、买房退租、离市退租、工作单位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变动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等事项作出明确规定，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规定了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私自转租、弄虚作假等违规行为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的处理。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附则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FF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二、《办法》中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申请三亚市青苗过渡公寓的条件有哪些？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答：（一）青苗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" w:eastAsia="zh-CN"/>
        </w:rPr>
        <w:t>过渡公寓申请人须满足以下条件之一：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1．40周岁（含）以下，具有全日制硕士研究生（含）以上学历，或者具有高级专业技术资格、高级技师职业资格的人才；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  <w:t>35周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岁（含）以下，具有全日制普通本科（含）以上学历，或者具有中级专业技术（含）以上技术职称、技师（含）以上职业资格的人才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3.经市委人才工作领导小组办公室批准的，其他本市各行业、各领域引进的青年人才。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（二）青苗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" w:eastAsia="zh-CN"/>
        </w:rPr>
        <w:t>过渡公寓申请人还须同时满足以下条件：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FF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1．《办法》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施行前，未在本市缴纳过社会保险、个人所得税，且未在本市创办领办过企业；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2．《办法》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施行后，来本市创业就业，并在本市缴纳社会保险或者个人所得税；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申请人及其配偶在本市无自有住房；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申请人及其配偶在本市未配租公共租赁住房或者保障性租赁住房；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5．申请人及其所在用人单位未被列入失信被执行人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未享受过人才住房租赁补贴及购房补贴。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三、三亚市青苗过渡公寓的申报时间和申报平台？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预计11月下旬开展首次申报，后期将定期组织申报。在有空置房源的情况下，申请人在用人单位的协助下，通过海南自由贸易港人才服务“单一窗口”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（三亚）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或“海易办”申报，并提供相关申请材料。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申请三亚市青苗过渡公寓的申请材料有哪些？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申请材料分为“申请即提交”和“容缺提交”两类。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（一）“申请即提交”的材料：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1．三亚市青苗过渡公寓申请表；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2．身份证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护照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学历证明或者资格证书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个人诚信承诺书；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5．用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人单位须协助提供：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（1）营业执照；（2）单位诚信承诺书。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（二）容缺提交”的材料：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劳动合同或者聘用协议；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2．社会保险缴纳证明或者个人所得税证明。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三亚市青苗过渡公寓的审核、分配流程？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根据申请人“申请即提交”材料的完整性和诚信承诺内容，房屋管理部门进行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通过的，在公开平台公示3个工作日，无异议或者异议不成立的，可进入分配环节。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如申请人提供的材料不齐全，告知申请人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补充材料，3个工作日内未提交的，视为放弃本次申请。自申请人提交申请之日起，房屋管理部门应当在10个工作日内分配房源，并签订《三亚市青苗过渡公寓租赁合同》。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申请人应当在房源申请之日起2个月内，通过申请平台补充“容缺提交”材料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市住房保障部门统筹，相关行业主管部门配合，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10个工作日内完成对申请人资格条件的复审。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六、三亚市青苗过渡公寓的租金标准？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答：（一）房源为公共租赁住房的，租金以三亚市发展和改革委员会发布的公共租赁住房租金价格为准。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（二）房源为保障性租赁住房的，规定租金按《海南省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住房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和城乡建设厅等9部门关于加快发展保障性租赁住房的实施意见》（琼建规〔2022〕12号）执行，并按规定租金的70%收取。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（三）房源为其他性质租赁住房的，由房屋管理部门根据房源筹集成本、装修费、维修费、管理费、贷款利息等，参考同地段、同类型住房市场租金情况，按备案租金的60%收取。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七、清退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三亚市青苗过渡公寓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的情形？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（一）容缺材料复审不通过的，由房屋管理部门负责通知租住人腾退住房。租住人自收到房屋管理部门通知之日起5个工作日内腾退房屋，当月租金须足额缴纳，并扣除押金。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（二）租住满2年的，须在第24个月当月办理退房手续；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（三）租住人或者其配偶在本市购房的，应当主动向房屋管理部门报告，并于房屋备案登记次月办理退房手续；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（四）租住人或者其配偶已配租其他保障性住房的，应当主动向房屋管理部门报告，并于签订保障性住房租赁合同次月办理手续；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（五）离开本市就业创业的，应当在离岗20个工作日内办理退房手续。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八、如果存在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私自转租、弄虚作假等违规行为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应当承担哪些责任？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答：（一）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存在违法违规情形的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租住人应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于3个工作日内腾退房屋，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并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扣除押金，5年内不再受理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其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人才住房租赁补贴、购房补贴和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本市各类保障性住房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（二）初次违规的用人单位，由市住房保障部门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予以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警告。用人单位再次违规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或者多次违规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的，5年内不再受理其所有职工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人才住房租赁补贴、购房补贴和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本市各类保障性住房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申请。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九、承租人可否对承租房屋进行装修？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租住人对房屋进行装修，须经房屋管理部门同意，装修费用由租住人承担，退租时不予补偿。房屋管理部门对房屋进行装修，装修费由房屋管理部门承担，装修后房屋管理部门可进行重新核价，并报市住房保障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十、《办法》中“需特殊保障的高端青年人才”的认定标准？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“需特殊保障的高端青年人才”是指经行业主管部门或者房屋管理部门认可，并符合《海南自由贸易港高层次人才分类标准》《三亚崖州湾科技城引进人才分类标准》的A、B、C类</w:t>
      </w:r>
      <w:r>
        <w:rPr>
          <w:rFonts w:ascii="Times New Roman" w:hAnsi="Times New Roman" w:eastAsia="仿宋_GB2312" w:cs="Times New Roman"/>
          <w:i w:val="0"/>
          <w:caps w:val="0"/>
          <w:color w:val="171A1D"/>
          <w:spacing w:val="0"/>
          <w:kern w:val="0"/>
          <w:sz w:val="32"/>
          <w:szCs w:val="32"/>
          <w:highlight w:val="none"/>
          <w:u w:val="none"/>
          <w:shd w:val="clear" w:fill="auto"/>
        </w:rPr>
        <w:t>高层次人才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十一、申请人不符合申请条件的要求，是否还能申请三亚市青苗过渡公寓？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答：对不符合申请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条件的青年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人才，若行业主管部门或者房屋管理部门认为其确为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本市经济社会发展所需且有特殊保障必要的，可向市住房保障部门提出申请，经市委人才工作领导小组办公室批准后，可纳入保障范围。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wMDM2ODAzNWMxMTc1NzQ4NDMzMWU2ZDAxMjIifQ=="/>
  </w:docVars>
  <w:rsids>
    <w:rsidRoot w:val="2ABA17AE"/>
    <w:rsid w:val="05563C86"/>
    <w:rsid w:val="1EC2396C"/>
    <w:rsid w:val="22FD1D05"/>
    <w:rsid w:val="27AA907E"/>
    <w:rsid w:val="2ABA17AE"/>
    <w:rsid w:val="2C9F713A"/>
    <w:rsid w:val="2EFD2DAC"/>
    <w:rsid w:val="32FA5341"/>
    <w:rsid w:val="3E53AB82"/>
    <w:rsid w:val="4FF3C3C1"/>
    <w:rsid w:val="53A5C412"/>
    <w:rsid w:val="5BA57556"/>
    <w:rsid w:val="5EFA7CCD"/>
    <w:rsid w:val="60E1134A"/>
    <w:rsid w:val="634303FB"/>
    <w:rsid w:val="6BFD941E"/>
    <w:rsid w:val="6ED45699"/>
    <w:rsid w:val="703D17C2"/>
    <w:rsid w:val="708F613E"/>
    <w:rsid w:val="72313A1F"/>
    <w:rsid w:val="729ED684"/>
    <w:rsid w:val="754577AA"/>
    <w:rsid w:val="7BEB03AD"/>
    <w:rsid w:val="7D4B94E1"/>
    <w:rsid w:val="7EDF2625"/>
    <w:rsid w:val="7F1BBFEB"/>
    <w:rsid w:val="7F7D58EC"/>
    <w:rsid w:val="7F7DB947"/>
    <w:rsid w:val="7F7F523A"/>
    <w:rsid w:val="7FE93A57"/>
    <w:rsid w:val="7FF1D74D"/>
    <w:rsid w:val="7FFC632C"/>
    <w:rsid w:val="8EBECFC6"/>
    <w:rsid w:val="93DD0680"/>
    <w:rsid w:val="9D4B5CFF"/>
    <w:rsid w:val="A7BFD02E"/>
    <w:rsid w:val="BA7B23C6"/>
    <w:rsid w:val="BD0DE686"/>
    <w:rsid w:val="BFFF5FFA"/>
    <w:rsid w:val="CF7B0F5B"/>
    <w:rsid w:val="CFFF4729"/>
    <w:rsid w:val="CFFFD4BA"/>
    <w:rsid w:val="D75DACA1"/>
    <w:rsid w:val="DB7BC1EE"/>
    <w:rsid w:val="DFDD572D"/>
    <w:rsid w:val="DFDDA503"/>
    <w:rsid w:val="F4FF4B6B"/>
    <w:rsid w:val="FB7F07D3"/>
    <w:rsid w:val="FDD34DF5"/>
    <w:rsid w:val="FE734873"/>
    <w:rsid w:val="FEE762B5"/>
    <w:rsid w:val="FEF8B978"/>
    <w:rsid w:val="FFC32499"/>
    <w:rsid w:val="FFFF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0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2023-09-17T03:13:00Z</dcterms:created>
  <dc:creator>VANKE</dc:creator>
  <cp:lastModifiedBy>未知</cp:lastModifiedBy>
  <dcterms:modified xsi:type="dcterms:W3CDTF">2025-02-26T03:10:39Z</dcterms:modified>
  <dc:title>三亚市住房和城乡建设局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51A8AAD208D8469D9229A19CCAABC9AD_12</vt:lpwstr>
  </property>
</Properties>
</file>