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spacing w:line="480" w:lineRule="auto"/>
        <w:jc w:val="center"/>
        <w:rPr>
          <w:rFonts w:ascii="宋体" w:hAnsi="宋体" w:eastAsia="宋体"/>
          <w:b/>
          <w:sz w:val="44"/>
          <w:szCs w:val="44"/>
        </w:rPr>
      </w:pPr>
      <w:r>
        <w:rPr>
          <w:rFonts w:hint="eastAsia" w:ascii="宋体" w:hAnsi="宋体" w:eastAsia="宋体"/>
          <w:b/>
          <w:sz w:val="44"/>
          <w:szCs w:val="44"/>
        </w:rPr>
        <w:t>海南省房屋建筑工程质量潜在缺陷保险</w:t>
      </w:r>
    </w:p>
    <w:p>
      <w:pPr>
        <w:spacing w:line="480" w:lineRule="auto"/>
        <w:jc w:val="center"/>
        <w:rPr>
          <w:rFonts w:ascii="宋体" w:hAnsi="宋体" w:eastAsia="宋体"/>
          <w:b/>
          <w:sz w:val="44"/>
          <w:szCs w:val="44"/>
        </w:rPr>
      </w:pPr>
      <w:r>
        <w:rPr>
          <w:rFonts w:hint="eastAsia" w:ascii="宋体" w:hAnsi="宋体" w:eastAsia="宋体"/>
          <w:b/>
          <w:sz w:val="44"/>
          <w:szCs w:val="44"/>
        </w:rPr>
        <w:t>技术风险管理服务指南</w:t>
      </w:r>
    </w:p>
    <w:p>
      <w:pPr>
        <w:spacing w:line="480" w:lineRule="auto"/>
        <w:jc w:val="center"/>
        <w:rPr>
          <w:rFonts w:ascii="宋体" w:hAnsi="宋体" w:eastAsia="宋体"/>
          <w:b/>
          <w:sz w:val="44"/>
          <w:szCs w:val="44"/>
        </w:rPr>
      </w:pPr>
      <w:r>
        <w:rPr>
          <w:rFonts w:hint="eastAsia" w:ascii="宋体" w:hAnsi="宋体" w:eastAsia="宋体"/>
          <w:b/>
          <w:sz w:val="44"/>
          <w:szCs w:val="44"/>
        </w:rPr>
        <w:t>（试行）</w:t>
      </w: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ind w:firstLine="1280" w:firstLineChars="400"/>
        <w:jc w:val="left"/>
        <w:rPr>
          <w:rFonts w:ascii="黑体" w:hAnsi="黑体" w:eastAsia="黑体"/>
          <w:sz w:val="32"/>
          <w:szCs w:val="32"/>
        </w:rPr>
      </w:pPr>
      <w:r>
        <w:rPr>
          <w:rFonts w:hint="eastAsia" w:ascii="黑体" w:hAnsi="黑体" w:eastAsia="黑体"/>
          <w:sz w:val="32"/>
          <w:szCs w:val="32"/>
        </w:rPr>
        <w:t>主编部门：海南省住房和城乡建设厅</w:t>
      </w:r>
    </w:p>
    <w:p>
      <w:pPr>
        <w:widowControl/>
        <w:jc w:val="center"/>
        <w:rPr>
          <w:rFonts w:ascii="黑体" w:hAnsi="黑体" w:eastAsia="黑体"/>
          <w:sz w:val="32"/>
          <w:szCs w:val="32"/>
        </w:rPr>
      </w:pPr>
      <w:r>
        <w:rPr>
          <w:rFonts w:ascii="宋体" w:hAnsi="宋体" w:eastAsia="宋体"/>
          <w:sz w:val="32"/>
          <w:szCs w:val="32"/>
        </w:rPr>
        <w:br w:type="page"/>
      </w:r>
      <w:r>
        <w:rPr>
          <w:rFonts w:hint="eastAsia" w:ascii="黑体" w:hAnsi="黑体" w:eastAsia="黑体"/>
          <w:sz w:val="32"/>
          <w:szCs w:val="32"/>
        </w:rPr>
        <w:t>前 言</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工程质量潜在缺陷问题一直是影响工程综合质量的关键因素，其直接和间接损失不仅侵害消费者的人身财产安全、造成巨大的社会资源浪费，而且出现质量事故后，繁琐的投诉、调解、责任认定、理赔修复等民生问题也成为影响社会稳定的因素。</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为了解决这一难题，</w:t>
      </w:r>
      <w:r>
        <w:rPr>
          <w:rFonts w:ascii="宋体" w:hAnsi="宋体" w:eastAsia="宋体"/>
          <w:sz w:val="28"/>
          <w:szCs w:val="28"/>
        </w:rPr>
        <w:t>2005</w:t>
      </w:r>
      <w:r>
        <w:rPr>
          <w:rFonts w:hint="eastAsia" w:ascii="宋体" w:hAnsi="宋体" w:eastAsia="宋体"/>
          <w:sz w:val="28"/>
          <w:szCs w:val="28"/>
        </w:rPr>
        <w:t>年</w:t>
      </w:r>
      <w:r>
        <w:rPr>
          <w:rFonts w:ascii="宋体" w:hAnsi="宋体" w:eastAsia="宋体"/>
          <w:sz w:val="28"/>
          <w:szCs w:val="28"/>
        </w:rPr>
        <w:t>8</w:t>
      </w:r>
      <w:r>
        <w:rPr>
          <w:rFonts w:hint="eastAsia" w:ascii="宋体" w:hAnsi="宋体" w:eastAsia="宋体"/>
          <w:sz w:val="28"/>
          <w:szCs w:val="28"/>
        </w:rPr>
        <w:t>月</w:t>
      </w:r>
      <w:r>
        <w:rPr>
          <w:rFonts w:ascii="宋体" w:hAnsi="宋体" w:eastAsia="宋体"/>
          <w:sz w:val="28"/>
          <w:szCs w:val="28"/>
        </w:rPr>
        <w:t>5</w:t>
      </w:r>
      <w:r>
        <w:rPr>
          <w:rFonts w:hint="eastAsia" w:ascii="宋体" w:hAnsi="宋体" w:eastAsia="宋体"/>
          <w:sz w:val="28"/>
          <w:szCs w:val="28"/>
        </w:rPr>
        <w:t>日建设部、原中国保监会联合发布《关于推进建设工程质量保险工作的意见》</w:t>
      </w:r>
      <w:r>
        <w:rPr>
          <w:rFonts w:ascii="宋体" w:hAnsi="宋体" w:eastAsia="宋体"/>
          <w:sz w:val="28"/>
          <w:szCs w:val="28"/>
        </w:rPr>
        <w:t>(</w:t>
      </w:r>
      <w:r>
        <w:rPr>
          <w:rFonts w:hint="eastAsia" w:ascii="宋体" w:hAnsi="宋体" w:eastAsia="宋体"/>
          <w:sz w:val="28"/>
          <w:szCs w:val="28"/>
        </w:rPr>
        <w:t>建质</w:t>
      </w:r>
      <w:r>
        <w:rPr>
          <w:rFonts w:ascii="宋体" w:hAnsi="宋体" w:eastAsia="宋体"/>
          <w:sz w:val="28"/>
          <w:szCs w:val="28"/>
        </w:rPr>
        <w:t>[2005]133</w:t>
      </w:r>
      <w:r>
        <w:rPr>
          <w:rFonts w:hint="eastAsia" w:ascii="宋体" w:hAnsi="宋体" w:eastAsia="宋体"/>
          <w:sz w:val="28"/>
          <w:szCs w:val="28"/>
        </w:rPr>
        <w:t>号</w:t>
      </w:r>
      <w:r>
        <w:rPr>
          <w:rFonts w:ascii="宋体" w:hAnsi="宋体" w:eastAsia="宋体"/>
          <w:sz w:val="28"/>
          <w:szCs w:val="28"/>
        </w:rPr>
        <w:t>)</w:t>
      </w:r>
      <w:r>
        <w:rPr>
          <w:rFonts w:hint="eastAsia" w:ascii="宋体" w:hAnsi="宋体" w:eastAsia="宋体"/>
          <w:sz w:val="28"/>
          <w:szCs w:val="28"/>
        </w:rPr>
        <w:t>、要求</w:t>
      </w:r>
      <w:r>
        <w:rPr>
          <w:rFonts w:ascii="宋体" w:hAnsi="宋体" w:eastAsia="宋体"/>
          <w:sz w:val="28"/>
          <w:szCs w:val="28"/>
        </w:rPr>
        <w:t>“</w:t>
      </w:r>
      <w:r>
        <w:rPr>
          <w:rFonts w:hint="eastAsia" w:ascii="宋体" w:hAnsi="宋体" w:eastAsia="宋体"/>
          <w:sz w:val="28"/>
          <w:szCs w:val="28"/>
        </w:rPr>
        <w:t>在不断总结和改进试点工作的基础上，积极稳妥地全面实施建设工程质量保险制度</w:t>
      </w:r>
      <w:r>
        <w:rPr>
          <w:rFonts w:ascii="宋体" w:hAnsi="宋体" w:eastAsia="宋体"/>
          <w:sz w:val="28"/>
          <w:szCs w:val="28"/>
        </w:rPr>
        <w:t>”</w:t>
      </w:r>
      <w:r>
        <w:rPr>
          <w:rFonts w:hint="eastAsia" w:ascii="宋体" w:hAnsi="宋体" w:eastAsia="宋体"/>
          <w:sz w:val="28"/>
          <w:szCs w:val="28"/>
        </w:rPr>
        <w:t>。</w:t>
      </w:r>
      <w:r>
        <w:rPr>
          <w:rFonts w:ascii="宋体" w:hAnsi="宋体" w:eastAsia="宋体"/>
          <w:sz w:val="28"/>
          <w:szCs w:val="28"/>
        </w:rPr>
        <w:t>2017</w:t>
      </w:r>
      <w:r>
        <w:rPr>
          <w:rFonts w:hint="eastAsia" w:ascii="宋体" w:hAnsi="宋体" w:eastAsia="宋体"/>
          <w:sz w:val="28"/>
          <w:szCs w:val="28"/>
        </w:rPr>
        <w:t>年住房和城乡建设部再次发布《关于印发</w:t>
      </w:r>
      <w:r>
        <w:rPr>
          <w:rFonts w:ascii="宋体" w:hAnsi="宋体" w:eastAsia="宋体"/>
          <w:sz w:val="28"/>
          <w:szCs w:val="28"/>
        </w:rPr>
        <w:t>&lt;</w:t>
      </w:r>
      <w:r>
        <w:rPr>
          <w:rFonts w:hint="eastAsia" w:ascii="宋体" w:hAnsi="宋体" w:eastAsia="宋体"/>
          <w:sz w:val="28"/>
          <w:szCs w:val="28"/>
        </w:rPr>
        <w:t>工程质量安全提升行动方案的通知</w:t>
      </w:r>
      <w:r>
        <w:rPr>
          <w:rFonts w:ascii="宋体" w:hAnsi="宋体" w:eastAsia="宋体"/>
          <w:sz w:val="28"/>
          <w:szCs w:val="28"/>
        </w:rPr>
        <w:t>(</w:t>
      </w:r>
      <w:r>
        <w:rPr>
          <w:rFonts w:hint="eastAsia" w:ascii="宋体" w:hAnsi="宋体" w:eastAsia="宋体"/>
          <w:sz w:val="28"/>
          <w:szCs w:val="28"/>
        </w:rPr>
        <w:t>建质</w:t>
      </w:r>
      <w:r>
        <w:rPr>
          <w:rFonts w:ascii="宋体" w:hAnsi="宋体" w:eastAsia="宋体"/>
          <w:sz w:val="28"/>
          <w:szCs w:val="28"/>
        </w:rPr>
        <w:t>[2017]57</w:t>
      </w:r>
      <w:r>
        <w:rPr>
          <w:rFonts w:hint="eastAsia" w:ascii="宋体" w:hAnsi="宋体" w:eastAsia="宋体"/>
          <w:sz w:val="28"/>
          <w:szCs w:val="28"/>
        </w:rPr>
        <w:t>号</w:t>
      </w:r>
      <w:r>
        <w:rPr>
          <w:rFonts w:ascii="宋体" w:hAnsi="宋体" w:eastAsia="宋体"/>
          <w:sz w:val="28"/>
          <w:szCs w:val="28"/>
        </w:rPr>
        <w:t>)</w:t>
      </w:r>
      <w:r>
        <w:rPr>
          <w:rFonts w:hint="eastAsia" w:ascii="宋体" w:hAnsi="宋体" w:eastAsia="宋体"/>
          <w:sz w:val="28"/>
          <w:szCs w:val="28"/>
        </w:rPr>
        <w:t>》，随后上海、深圳、北京、江苏、成都及省外其他多地逐步开展工程质量潜在缺陷保险试点。</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海南省强台风、多降雨，房屋易出现</w:t>
      </w:r>
      <w:r>
        <w:rPr>
          <w:rFonts w:ascii="宋体" w:hAnsi="宋体" w:eastAsia="宋体"/>
          <w:sz w:val="28"/>
          <w:szCs w:val="28"/>
        </w:rPr>
        <w:t>“</w:t>
      </w:r>
      <w:r>
        <w:rPr>
          <w:rFonts w:hint="eastAsia" w:ascii="宋体" w:hAnsi="宋体" w:eastAsia="宋体"/>
          <w:sz w:val="28"/>
          <w:szCs w:val="28"/>
        </w:rPr>
        <w:t>裂漏渗</w:t>
      </w:r>
      <w:r>
        <w:rPr>
          <w:rFonts w:ascii="宋体" w:hAnsi="宋体" w:eastAsia="宋体"/>
          <w:sz w:val="28"/>
          <w:szCs w:val="28"/>
        </w:rPr>
        <w:t>”</w:t>
      </w:r>
      <w:r>
        <w:rPr>
          <w:rFonts w:hint="eastAsia" w:ascii="宋体" w:hAnsi="宋体" w:eastAsia="宋体"/>
          <w:sz w:val="28"/>
          <w:szCs w:val="28"/>
        </w:rPr>
        <w:t>等质量通病，且外地购房客较多。当出现房屋建筑工程质量问题时，修复难、赔偿难、追责难，广大业主和住户的合法权益无法得到及时保障，用户始终处于弱势地位。工程质量涉及民生问题，党中央、国务院高度重视建筑质量管理，多次提到推动发展工程质量保险。为解决这一民生难题，海南省住房和城乡建设厅深入贯彻中央和国家部委决策部署，开始着手研究工程质量潜在缺陷保险工作，着力于对传统监管模式进行改革，制定出一套新的建设工程质量保障制度，既要能加强建设过程质量管理，又能在建筑使用阶段出现质量问题时修复及时，让业主的维权途径简单。</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通过建立房屋建筑质量潜在缺陷保险制度，使得保险公司与房屋最终所有权人的利益捆绑在一起，让代表最终所有权人权益的主体</w:t>
      </w:r>
      <w:r>
        <w:rPr>
          <w:rFonts w:ascii="宋体" w:hAnsi="宋体" w:eastAsia="宋体"/>
          <w:sz w:val="28"/>
          <w:szCs w:val="28"/>
        </w:rPr>
        <w:t>(</w:t>
      </w:r>
      <w:r>
        <w:rPr>
          <w:rFonts w:hint="eastAsia" w:ascii="宋体" w:hAnsi="宋体" w:eastAsia="宋体"/>
          <w:sz w:val="28"/>
          <w:szCs w:val="28"/>
        </w:rPr>
        <w:t>保险公司</w:t>
      </w:r>
      <w:r>
        <w:rPr>
          <w:rFonts w:ascii="宋体" w:hAnsi="宋体" w:eastAsia="宋体"/>
          <w:sz w:val="28"/>
          <w:szCs w:val="28"/>
        </w:rPr>
        <w:t>)</w:t>
      </w:r>
      <w:r>
        <w:rPr>
          <w:rFonts w:hint="eastAsia" w:ascii="宋体" w:hAnsi="宋体" w:eastAsia="宋体"/>
          <w:sz w:val="28"/>
          <w:szCs w:val="28"/>
        </w:rPr>
        <w:t>介入建设全过程，将解决现行制度下最终所有权人无法到场的痛点，改变最终用户对工程招标、工程施工、竣工验收过程缺乏监督权与话语权的现状。当质量事故发生时，通过建设方购买的房屋建筑工程质量潜在缺陷保险为出现事故时快速处理提供充足的财政保证，能做到先修复、先赔偿、后代位追偿，消除了因责任主体消失或难以履职而导致的业主权益得不到保障的情况，解决用户后顾之忧，发挥出海南自贸港建设的经济效用、社会效用和制度红利优势效应。</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通过建立房屋建筑工程质量潜在缺陷保险制度，让代表最终所有权人权益的保险公司及其聘用的技术风险管理服务机构（T</w:t>
      </w:r>
      <w:r>
        <w:rPr>
          <w:rFonts w:ascii="宋体" w:hAnsi="宋体" w:eastAsia="宋体"/>
          <w:sz w:val="28"/>
          <w:szCs w:val="28"/>
        </w:rPr>
        <w:t>IS</w:t>
      </w:r>
      <w:r>
        <w:rPr>
          <w:rFonts w:hint="eastAsia" w:ascii="宋体" w:hAnsi="宋体" w:eastAsia="宋体"/>
          <w:sz w:val="28"/>
          <w:szCs w:val="28"/>
        </w:rPr>
        <w:t>）介入工程实施的全过程，对勘察设计文件进行质量风险把控，从而取消施工图审查环节，让设计单位回到本来的位置并承担责任；对施工过程进行质量风险把控，对建设进程中发现的质量缺陷风险，促成施工单位及时整改，施工单位对于重大的质量缺陷风险没有完成整改的，建设单位不得组织竣工验收，从而弱化或部分取消现有监理职能，强化施工单位本应承担的施工责任，改善现有建筑施工过程质量管理不到位的情况。</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技术风险管理服务机构对被保险建设工程项目潜在的质量风险因素实施辩识、评估、报告，提出降低质量潜在缺陷风险水平的措施建议，这种全过程的技术风险管理新模式与现有质量管理制度的配合协调，起到了质量缺陷风险识别、预防和控制的作用；并通过商业保险机制的市场约束，有效地提高了工程质量水平。</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但目前，我省的</w:t>
      </w:r>
      <w:r>
        <w:rPr>
          <w:rFonts w:ascii="宋体" w:hAnsi="宋体" w:eastAsia="宋体"/>
          <w:sz w:val="28"/>
          <w:szCs w:val="28"/>
        </w:rPr>
        <w:t>TIS</w:t>
      </w:r>
      <w:r>
        <w:rPr>
          <w:rFonts w:hint="eastAsia" w:ascii="宋体" w:hAnsi="宋体" w:eastAsia="宋体"/>
          <w:sz w:val="28"/>
          <w:szCs w:val="28"/>
        </w:rPr>
        <w:t>机构还处于孕育初期，对其工作定位、工作流程、工作方法、服务内容和服务成果均没有国标等予以明确规定；甚至对工程质量的风险识别、风险分析、风险评价等评估技术也处于探索阶段。我们很有必要拟定切实可行的服务指南，将风险管理与工程技术这两个学科科学地结合起来，用以指导技术风险管理服务工作，为建筑产品投保提供保险行业认可的和可追溯的依据。</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本服务指南的出台正当其时，能引导我省</w:t>
      </w:r>
      <w:r>
        <w:rPr>
          <w:rFonts w:ascii="宋体" w:hAnsi="宋体" w:eastAsia="宋体"/>
          <w:sz w:val="28"/>
          <w:szCs w:val="28"/>
        </w:rPr>
        <w:t>TIS</w:t>
      </w:r>
      <w:r>
        <w:rPr>
          <w:rFonts w:hint="eastAsia" w:ascii="宋体" w:hAnsi="宋体" w:eastAsia="宋体"/>
          <w:sz w:val="28"/>
          <w:szCs w:val="28"/>
        </w:rPr>
        <w:t>行业的良性发展，为</w:t>
      </w:r>
      <w:r>
        <w:rPr>
          <w:rFonts w:ascii="宋体" w:hAnsi="宋体" w:eastAsia="宋体"/>
          <w:sz w:val="28"/>
          <w:szCs w:val="28"/>
        </w:rPr>
        <w:t>IDI</w:t>
      </w:r>
      <w:r>
        <w:rPr>
          <w:rFonts w:hint="eastAsia" w:ascii="宋体" w:hAnsi="宋体" w:eastAsia="宋体"/>
          <w:sz w:val="28"/>
          <w:szCs w:val="28"/>
        </w:rPr>
        <w:t>的推广提供可靠的技术支持。标志着我省</w:t>
      </w:r>
      <w:r>
        <w:rPr>
          <w:rFonts w:ascii="宋体" w:hAnsi="宋体" w:eastAsia="宋体"/>
          <w:sz w:val="28"/>
          <w:szCs w:val="28"/>
        </w:rPr>
        <w:t>TIS</w:t>
      </w:r>
      <w:r>
        <w:rPr>
          <w:rFonts w:hint="eastAsia" w:ascii="宋体" w:hAnsi="宋体" w:eastAsia="宋体"/>
          <w:sz w:val="28"/>
          <w:szCs w:val="28"/>
        </w:rPr>
        <w:t>的技术风险管理服务从起步走向快速成长阶段，并逐步与国际接轨，对促进我省工程保险的推广、保障人民合法权益和海南自贸港建设持续健康发展等均具有重要的现实意义。</w:t>
      </w:r>
    </w:p>
    <w:p>
      <w:pPr>
        <w:widowControl/>
        <w:jc w:val="left"/>
        <w:rPr>
          <w:rFonts w:ascii="宋体" w:hAnsi="宋体" w:eastAsia="宋体"/>
          <w:sz w:val="32"/>
          <w:szCs w:val="32"/>
        </w:rPr>
      </w:pPr>
    </w:p>
    <w:p>
      <w:pPr>
        <w:widowControl/>
        <w:jc w:val="left"/>
        <w:rPr>
          <w:rFonts w:ascii="宋体" w:hAnsi="宋体" w:eastAsia="宋体"/>
          <w:sz w:val="32"/>
          <w:szCs w:val="32"/>
        </w:rPr>
      </w:pPr>
    </w:p>
    <w:p>
      <w:pPr>
        <w:widowControl/>
        <w:jc w:val="left"/>
        <w:rPr>
          <w:rFonts w:ascii="宋体" w:hAnsi="宋体" w:eastAsia="宋体"/>
          <w:sz w:val="32"/>
          <w:szCs w:val="32"/>
        </w:rPr>
      </w:pPr>
    </w:p>
    <w:p>
      <w:pPr>
        <w:widowControl/>
        <w:jc w:val="left"/>
        <w:rPr>
          <w:rFonts w:ascii="宋体" w:hAnsi="宋体" w:eastAsia="宋体"/>
          <w:sz w:val="32"/>
          <w:szCs w:val="32"/>
        </w:rPr>
      </w:pPr>
      <w:r>
        <w:rPr>
          <w:rFonts w:ascii="宋体" w:hAnsi="宋体" w:eastAsia="宋体"/>
          <w:sz w:val="32"/>
          <w:szCs w:val="32"/>
        </w:rPr>
        <w:br w:type="page"/>
      </w:r>
    </w:p>
    <w:p>
      <w:pPr>
        <w:jc w:val="left"/>
        <w:rPr>
          <w:rFonts w:ascii="宋体" w:hAnsi="宋体" w:eastAsia="宋体"/>
          <w:sz w:val="24"/>
          <w:szCs w:val="24"/>
        </w:rPr>
      </w:pPr>
    </w:p>
    <w:p>
      <w:pPr>
        <w:jc w:val="left"/>
        <w:rPr>
          <w:rFonts w:ascii="宋体" w:hAnsi="宋体" w:eastAsia="宋体"/>
          <w:sz w:val="24"/>
          <w:szCs w:val="24"/>
        </w:rPr>
      </w:pPr>
    </w:p>
    <w:p>
      <w:pPr>
        <w:pStyle w:val="34"/>
        <w:jc w:val="center"/>
        <w:rPr>
          <w:rFonts w:ascii="宋体" w:hAnsi="宋体" w:eastAsia="宋体"/>
          <w:color w:val="002060"/>
        </w:rPr>
      </w:pPr>
      <w:r>
        <w:rPr>
          <w:rFonts w:ascii="宋体" w:hAnsi="宋体" w:eastAsia="宋体"/>
          <w:color w:val="002060"/>
          <w:lang w:val="zh-CN"/>
        </w:rPr>
        <w:t>目录</w:t>
      </w:r>
    </w:p>
    <w:p>
      <w:pPr>
        <w:pStyle w:val="15"/>
        <w:tabs>
          <w:tab w:val="right" w:leader="dot" w:pos="8296"/>
        </w:tabs>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TOC \o "1-3" \h \z \u </w:instrText>
      </w:r>
      <w:r>
        <w:rPr>
          <w:rFonts w:ascii="宋体" w:hAnsi="宋体" w:eastAsia="宋体"/>
          <w:sz w:val="28"/>
          <w:szCs w:val="28"/>
        </w:rPr>
        <w:fldChar w:fldCharType="separate"/>
      </w:r>
      <w:r>
        <w:fldChar w:fldCharType="begin"/>
      </w:r>
      <w:r>
        <w:instrText xml:space="preserve"> HYPERLINK \l "_Toc58848568" </w:instrText>
      </w:r>
      <w:r>
        <w:fldChar w:fldCharType="separate"/>
      </w:r>
      <w:r>
        <w:rPr>
          <w:rStyle w:val="26"/>
          <w:rFonts w:ascii="宋体" w:hAnsi="宋体" w:eastAsia="宋体"/>
          <w:sz w:val="28"/>
          <w:szCs w:val="28"/>
        </w:rPr>
        <w:t>1  总  则</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_Toc58848568 \h </w:instrText>
      </w:r>
      <w:r>
        <w:rPr>
          <w:rFonts w:ascii="宋体" w:hAnsi="宋体" w:eastAsia="宋体"/>
          <w:sz w:val="28"/>
          <w:szCs w:val="28"/>
        </w:rPr>
        <w:fldChar w:fldCharType="separate"/>
      </w:r>
      <w:r>
        <w:rPr>
          <w:rFonts w:ascii="宋体" w:hAnsi="宋体" w:eastAsia="宋体"/>
          <w:sz w:val="28"/>
          <w:szCs w:val="28"/>
        </w:rPr>
        <w:t>- 1 -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"_Toc58848569" </w:instrText>
      </w:r>
      <w:r>
        <w:fldChar w:fldCharType="separate"/>
      </w:r>
      <w:r>
        <w:rPr>
          <w:rStyle w:val="26"/>
          <w:rFonts w:ascii="宋体" w:hAnsi="宋体" w:eastAsia="宋体"/>
          <w:sz w:val="28"/>
          <w:szCs w:val="28"/>
        </w:rPr>
        <w:t>2  术  语</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_Toc58848569 \h </w:instrText>
      </w:r>
      <w:r>
        <w:rPr>
          <w:rFonts w:ascii="宋体" w:hAnsi="宋体" w:eastAsia="宋体"/>
          <w:sz w:val="28"/>
          <w:szCs w:val="28"/>
        </w:rPr>
        <w:fldChar w:fldCharType="separate"/>
      </w:r>
      <w:r>
        <w:rPr>
          <w:rFonts w:ascii="宋体" w:hAnsi="宋体" w:eastAsia="宋体"/>
          <w:sz w:val="28"/>
          <w:szCs w:val="28"/>
        </w:rPr>
        <w:t>- 2 -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"_Toc58848570" </w:instrText>
      </w:r>
      <w:r>
        <w:fldChar w:fldCharType="separate"/>
      </w:r>
      <w:r>
        <w:rPr>
          <w:rStyle w:val="26"/>
          <w:rFonts w:ascii="宋体" w:hAnsi="宋体" w:eastAsia="宋体"/>
          <w:sz w:val="28"/>
          <w:szCs w:val="28"/>
        </w:rPr>
        <w:t>3  基本规定</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_Toc58848570 \h </w:instrText>
      </w:r>
      <w:r>
        <w:rPr>
          <w:rFonts w:ascii="宋体" w:hAnsi="宋体" w:eastAsia="宋体"/>
          <w:sz w:val="28"/>
          <w:szCs w:val="28"/>
        </w:rPr>
        <w:fldChar w:fldCharType="separate"/>
      </w:r>
      <w:r>
        <w:rPr>
          <w:rFonts w:ascii="宋体" w:hAnsi="宋体" w:eastAsia="宋体"/>
          <w:sz w:val="28"/>
          <w:szCs w:val="28"/>
        </w:rPr>
        <w:t>- 4 -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"_Toc58848571" </w:instrText>
      </w:r>
      <w:r>
        <w:fldChar w:fldCharType="separate"/>
      </w:r>
      <w:r>
        <w:rPr>
          <w:rStyle w:val="26"/>
          <w:rFonts w:ascii="宋体" w:hAnsi="宋体" w:eastAsia="宋体"/>
          <w:sz w:val="28"/>
          <w:szCs w:val="28"/>
        </w:rPr>
        <w:t>3.1  一般规定</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_Toc58848571 \h </w:instrText>
      </w:r>
      <w:r>
        <w:rPr>
          <w:rFonts w:ascii="宋体" w:hAnsi="宋体" w:eastAsia="宋体"/>
          <w:sz w:val="28"/>
          <w:szCs w:val="28"/>
        </w:rPr>
        <w:fldChar w:fldCharType="separate"/>
      </w:r>
      <w:r>
        <w:rPr>
          <w:rFonts w:ascii="宋体" w:hAnsi="宋体" w:eastAsia="宋体"/>
          <w:sz w:val="28"/>
          <w:szCs w:val="28"/>
        </w:rPr>
        <w:t>- 4 -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"_Toc58848572" </w:instrText>
      </w:r>
      <w:r>
        <w:fldChar w:fldCharType="separate"/>
      </w:r>
      <w:r>
        <w:rPr>
          <w:rStyle w:val="26"/>
          <w:rFonts w:ascii="宋体" w:hAnsi="宋体" w:eastAsia="宋体"/>
          <w:sz w:val="28"/>
          <w:szCs w:val="28"/>
        </w:rPr>
        <w:t>3.2  工作范围</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_Toc58848572 \h </w:instrText>
      </w:r>
      <w:r>
        <w:rPr>
          <w:rFonts w:ascii="宋体" w:hAnsi="宋体" w:eastAsia="宋体"/>
          <w:sz w:val="28"/>
          <w:szCs w:val="28"/>
        </w:rPr>
        <w:fldChar w:fldCharType="separate"/>
      </w:r>
      <w:r>
        <w:rPr>
          <w:rFonts w:ascii="宋体" w:hAnsi="宋体" w:eastAsia="宋体"/>
          <w:sz w:val="28"/>
          <w:szCs w:val="28"/>
        </w:rPr>
        <w:t>- 5 -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"_Toc58848573" </w:instrText>
      </w:r>
      <w:r>
        <w:fldChar w:fldCharType="separate"/>
      </w:r>
      <w:r>
        <w:rPr>
          <w:rStyle w:val="26"/>
          <w:rFonts w:ascii="宋体" w:hAnsi="宋体" w:eastAsia="宋体"/>
          <w:sz w:val="28"/>
          <w:szCs w:val="28"/>
        </w:rPr>
        <w:t>3.3  工作依据</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_Toc58848573 \h </w:instrText>
      </w:r>
      <w:r>
        <w:rPr>
          <w:rFonts w:ascii="宋体" w:hAnsi="宋体" w:eastAsia="宋体"/>
          <w:sz w:val="28"/>
          <w:szCs w:val="28"/>
        </w:rPr>
        <w:fldChar w:fldCharType="separate"/>
      </w:r>
      <w:r>
        <w:rPr>
          <w:rFonts w:ascii="宋体" w:hAnsi="宋体" w:eastAsia="宋体"/>
          <w:sz w:val="28"/>
          <w:szCs w:val="28"/>
        </w:rPr>
        <w:t>- 6 -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"_Toc58848574" </w:instrText>
      </w:r>
      <w:r>
        <w:fldChar w:fldCharType="separate"/>
      </w:r>
      <w:r>
        <w:rPr>
          <w:rStyle w:val="26"/>
          <w:rFonts w:ascii="宋体" w:hAnsi="宋体" w:eastAsia="宋体"/>
          <w:sz w:val="28"/>
          <w:szCs w:val="28"/>
        </w:rPr>
        <w:t>4  风险评估</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_Toc58848574 \h </w:instrText>
      </w:r>
      <w:r>
        <w:rPr>
          <w:rFonts w:ascii="宋体" w:hAnsi="宋体" w:eastAsia="宋体"/>
          <w:sz w:val="28"/>
          <w:szCs w:val="28"/>
        </w:rPr>
        <w:fldChar w:fldCharType="separate"/>
      </w:r>
      <w:r>
        <w:rPr>
          <w:rFonts w:ascii="宋体" w:hAnsi="宋体" w:eastAsia="宋体"/>
          <w:sz w:val="28"/>
          <w:szCs w:val="28"/>
        </w:rPr>
        <w:t>- 9 -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"_Toc58848575" </w:instrText>
      </w:r>
      <w:r>
        <w:fldChar w:fldCharType="separate"/>
      </w:r>
      <w:r>
        <w:rPr>
          <w:rStyle w:val="26"/>
          <w:rFonts w:ascii="宋体" w:hAnsi="宋体" w:eastAsia="宋体"/>
          <w:sz w:val="28"/>
          <w:szCs w:val="28"/>
        </w:rPr>
        <w:t>4.1  风险评价</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_Toc58848575 \h </w:instrText>
      </w:r>
      <w:r>
        <w:rPr>
          <w:rFonts w:ascii="宋体" w:hAnsi="宋体" w:eastAsia="宋体"/>
          <w:sz w:val="28"/>
          <w:szCs w:val="28"/>
        </w:rPr>
        <w:fldChar w:fldCharType="separate"/>
      </w:r>
      <w:r>
        <w:rPr>
          <w:rFonts w:ascii="宋体" w:hAnsi="宋体" w:eastAsia="宋体"/>
          <w:sz w:val="28"/>
          <w:szCs w:val="28"/>
        </w:rPr>
        <w:t>- 9 -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"_Toc58848576" </w:instrText>
      </w:r>
      <w:r>
        <w:fldChar w:fldCharType="separate"/>
      </w:r>
      <w:r>
        <w:rPr>
          <w:rStyle w:val="26"/>
          <w:rFonts w:ascii="宋体" w:hAnsi="宋体" w:eastAsia="宋体"/>
          <w:sz w:val="28"/>
          <w:szCs w:val="28"/>
        </w:rPr>
        <w:t>4.2  风险控制</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_Toc58848576 \h </w:instrText>
      </w:r>
      <w:r>
        <w:rPr>
          <w:rFonts w:ascii="宋体" w:hAnsi="宋体" w:eastAsia="宋体"/>
          <w:sz w:val="28"/>
          <w:szCs w:val="28"/>
        </w:rPr>
        <w:fldChar w:fldCharType="separate"/>
      </w:r>
      <w:r>
        <w:rPr>
          <w:rFonts w:ascii="宋体" w:hAnsi="宋体" w:eastAsia="宋体"/>
          <w:sz w:val="28"/>
          <w:szCs w:val="28"/>
        </w:rPr>
        <w:t>- 11 -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"_Toc58848577" </w:instrText>
      </w:r>
      <w:r>
        <w:fldChar w:fldCharType="separate"/>
      </w:r>
      <w:r>
        <w:rPr>
          <w:rStyle w:val="26"/>
          <w:rFonts w:ascii="宋体" w:hAnsi="宋体" w:eastAsia="宋体"/>
          <w:sz w:val="28"/>
          <w:szCs w:val="28"/>
        </w:rPr>
        <w:t>4.3  工作流程</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_Toc58848577 \h </w:instrText>
      </w:r>
      <w:r>
        <w:rPr>
          <w:rFonts w:ascii="宋体" w:hAnsi="宋体" w:eastAsia="宋体"/>
          <w:sz w:val="28"/>
          <w:szCs w:val="28"/>
        </w:rPr>
        <w:fldChar w:fldCharType="separate"/>
      </w:r>
      <w:r>
        <w:rPr>
          <w:rFonts w:ascii="宋体" w:hAnsi="宋体" w:eastAsia="宋体"/>
          <w:sz w:val="28"/>
          <w:szCs w:val="28"/>
        </w:rPr>
        <w:t>- 12 -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"_Toc58848578" </w:instrText>
      </w:r>
      <w:r>
        <w:fldChar w:fldCharType="separate"/>
      </w:r>
      <w:r>
        <w:rPr>
          <w:rStyle w:val="26"/>
          <w:rFonts w:ascii="宋体" w:hAnsi="宋体" w:eastAsia="宋体"/>
          <w:sz w:val="28"/>
          <w:szCs w:val="28"/>
        </w:rPr>
        <w:t>4.4  风险管理内容</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_Toc58848578 \h </w:instrText>
      </w:r>
      <w:r>
        <w:rPr>
          <w:rFonts w:ascii="宋体" w:hAnsi="宋体" w:eastAsia="宋体"/>
          <w:sz w:val="28"/>
          <w:szCs w:val="28"/>
        </w:rPr>
        <w:fldChar w:fldCharType="separate"/>
      </w:r>
      <w:r>
        <w:rPr>
          <w:rFonts w:ascii="宋体" w:hAnsi="宋体" w:eastAsia="宋体"/>
          <w:sz w:val="28"/>
          <w:szCs w:val="28"/>
        </w:rPr>
        <w:t>- 17 -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"_Toc58848579" </w:instrText>
      </w:r>
      <w:r>
        <w:fldChar w:fldCharType="separate"/>
      </w:r>
      <w:r>
        <w:rPr>
          <w:rStyle w:val="26"/>
          <w:rFonts w:ascii="宋体" w:hAnsi="宋体" w:eastAsia="宋体"/>
          <w:sz w:val="28"/>
          <w:szCs w:val="28"/>
        </w:rPr>
        <w:t>5  风险评估报告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_Toc58848579 \h </w:instrText>
      </w:r>
      <w:r>
        <w:rPr>
          <w:rFonts w:ascii="宋体" w:hAnsi="宋体" w:eastAsia="宋体"/>
          <w:sz w:val="28"/>
          <w:szCs w:val="28"/>
        </w:rPr>
        <w:fldChar w:fldCharType="separate"/>
      </w:r>
      <w:r>
        <w:rPr>
          <w:rFonts w:ascii="宋体" w:hAnsi="宋体" w:eastAsia="宋体"/>
          <w:sz w:val="28"/>
          <w:szCs w:val="28"/>
        </w:rPr>
        <w:t>- 20 -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"_Toc58848580" </w:instrText>
      </w:r>
      <w:r>
        <w:fldChar w:fldCharType="separate"/>
      </w:r>
      <w:r>
        <w:rPr>
          <w:rStyle w:val="26"/>
          <w:rFonts w:ascii="宋体" w:hAnsi="宋体" w:eastAsia="宋体"/>
          <w:sz w:val="28"/>
          <w:szCs w:val="28"/>
        </w:rPr>
        <w:t>6  档案管理</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_Toc58848580 \h </w:instrText>
      </w:r>
      <w:r>
        <w:rPr>
          <w:rFonts w:ascii="宋体" w:hAnsi="宋体" w:eastAsia="宋体"/>
          <w:sz w:val="28"/>
          <w:szCs w:val="28"/>
        </w:rPr>
        <w:fldChar w:fldCharType="separate"/>
      </w:r>
      <w:r>
        <w:rPr>
          <w:rFonts w:ascii="宋体" w:hAnsi="宋体" w:eastAsia="宋体"/>
          <w:sz w:val="28"/>
          <w:szCs w:val="28"/>
        </w:rPr>
        <w:t>- 21 -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"_Toc58848581" </w:instrText>
      </w:r>
      <w:r>
        <w:fldChar w:fldCharType="separate"/>
      </w:r>
      <w:r>
        <w:rPr>
          <w:rStyle w:val="26"/>
          <w:rFonts w:ascii="宋体" w:hAnsi="宋体" w:eastAsia="宋体"/>
          <w:sz w:val="28"/>
          <w:szCs w:val="28"/>
        </w:rPr>
        <w:t>附录A  工程质量风险管理服务授权书</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_Toc58848581 \h </w:instrText>
      </w:r>
      <w:r>
        <w:rPr>
          <w:rFonts w:ascii="宋体" w:hAnsi="宋体" w:eastAsia="宋体"/>
          <w:sz w:val="28"/>
          <w:szCs w:val="28"/>
        </w:rPr>
        <w:fldChar w:fldCharType="separate"/>
      </w:r>
      <w:r>
        <w:rPr>
          <w:rFonts w:ascii="宋体" w:hAnsi="宋体" w:eastAsia="宋体"/>
          <w:sz w:val="28"/>
          <w:szCs w:val="28"/>
        </w:rPr>
        <w:t>- 23 -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"_Toc58848582" </w:instrText>
      </w:r>
      <w:r>
        <w:fldChar w:fldCharType="separate"/>
      </w:r>
      <w:r>
        <w:rPr>
          <w:rStyle w:val="26"/>
          <w:rFonts w:ascii="宋体" w:hAnsi="宋体" w:eastAsia="宋体"/>
          <w:sz w:val="28"/>
          <w:szCs w:val="28"/>
        </w:rPr>
        <w:t>附录B  风险管理服务工作计划</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_Toc58848582 \h </w:instrText>
      </w:r>
      <w:r>
        <w:rPr>
          <w:rFonts w:ascii="宋体" w:hAnsi="宋体" w:eastAsia="宋体"/>
          <w:sz w:val="28"/>
          <w:szCs w:val="28"/>
        </w:rPr>
        <w:fldChar w:fldCharType="separate"/>
      </w:r>
      <w:r>
        <w:rPr>
          <w:rFonts w:ascii="宋体" w:hAnsi="宋体" w:eastAsia="宋体"/>
          <w:sz w:val="28"/>
          <w:szCs w:val="28"/>
        </w:rPr>
        <w:t>- 24 -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"_Toc58848583" </w:instrText>
      </w:r>
      <w:r>
        <w:fldChar w:fldCharType="separate"/>
      </w:r>
      <w:r>
        <w:rPr>
          <w:rStyle w:val="26"/>
          <w:rFonts w:ascii="宋体" w:hAnsi="宋体" w:eastAsia="宋体"/>
          <w:sz w:val="28"/>
          <w:szCs w:val="28"/>
        </w:rPr>
        <w:t>附录C  过程检查报告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_Toc58848583 \h </w:instrText>
      </w:r>
      <w:r>
        <w:rPr>
          <w:rFonts w:ascii="宋体" w:hAnsi="宋体" w:eastAsia="宋体"/>
          <w:sz w:val="28"/>
          <w:szCs w:val="28"/>
        </w:rPr>
        <w:fldChar w:fldCharType="separate"/>
      </w:r>
      <w:r>
        <w:rPr>
          <w:rFonts w:ascii="宋体" w:hAnsi="宋体" w:eastAsia="宋体"/>
          <w:sz w:val="28"/>
          <w:szCs w:val="28"/>
        </w:rPr>
        <w:t>- 26 -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"_Toc58848584" </w:instrText>
      </w:r>
      <w:r>
        <w:fldChar w:fldCharType="separate"/>
      </w:r>
      <w:r>
        <w:rPr>
          <w:rStyle w:val="26"/>
          <w:rFonts w:ascii="宋体" w:hAnsi="宋体" w:eastAsia="宋体"/>
          <w:sz w:val="28"/>
          <w:szCs w:val="28"/>
        </w:rPr>
        <w:t>附录D  质量缺陷风险总体评估报告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_Toc58848584 \h </w:instrText>
      </w:r>
      <w:r>
        <w:rPr>
          <w:rFonts w:ascii="宋体" w:hAnsi="宋体" w:eastAsia="宋体"/>
          <w:sz w:val="28"/>
          <w:szCs w:val="28"/>
        </w:rPr>
        <w:fldChar w:fldCharType="separate"/>
      </w:r>
      <w:r>
        <w:rPr>
          <w:rFonts w:ascii="宋体" w:hAnsi="宋体" w:eastAsia="宋体"/>
          <w:sz w:val="28"/>
          <w:szCs w:val="28"/>
        </w:rPr>
        <w:t>- 30 -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"_Toc58848585" </w:instrText>
      </w:r>
      <w:r>
        <w:fldChar w:fldCharType="separate"/>
      </w:r>
      <w:r>
        <w:rPr>
          <w:rStyle w:val="26"/>
          <w:rFonts w:ascii="宋体" w:hAnsi="宋体" w:eastAsia="宋体"/>
          <w:sz w:val="28"/>
          <w:szCs w:val="28"/>
        </w:rPr>
        <w:t>附录E  关键分部分项工程、节点和工序</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_Toc58848585 \h </w:instrText>
      </w:r>
      <w:r>
        <w:rPr>
          <w:rFonts w:ascii="宋体" w:hAnsi="宋体" w:eastAsia="宋体"/>
          <w:sz w:val="28"/>
          <w:szCs w:val="28"/>
        </w:rPr>
        <w:fldChar w:fldCharType="separate"/>
      </w:r>
      <w:r>
        <w:rPr>
          <w:rFonts w:ascii="宋体" w:hAnsi="宋体" w:eastAsia="宋体"/>
          <w:sz w:val="28"/>
          <w:szCs w:val="28"/>
        </w:rPr>
        <w:t>- 36 -</w:t>
      </w:r>
      <w:r>
        <w:rPr>
          <w:rFonts w:ascii="宋体" w:hAnsi="宋体" w:eastAsia="宋体"/>
          <w:sz w:val="28"/>
          <w:szCs w:val="28"/>
        </w:rPr>
        <w:fldChar w:fldCharType="end"/>
      </w:r>
      <w:r>
        <w:rPr>
          <w:rFonts w:ascii="宋体" w:hAnsi="宋体" w:eastAsia="宋体"/>
          <w:sz w:val="28"/>
          <w:szCs w:val="28"/>
        </w:rPr>
        <w:fldChar w:fldCharType="end"/>
      </w:r>
    </w:p>
    <w:p>
      <w:pPr>
        <w:rPr>
          <w:rFonts w:ascii="宋体" w:hAnsi="宋体" w:eastAsia="宋体"/>
          <w:sz w:val="28"/>
          <w:szCs w:val="28"/>
        </w:rPr>
      </w:pPr>
      <w:r>
        <w:rPr>
          <w:rFonts w:ascii="宋体" w:hAnsi="宋体" w:eastAsia="宋体"/>
          <w:b/>
          <w:bCs/>
          <w:sz w:val="28"/>
          <w:szCs w:val="28"/>
          <w:lang w:val="zh-CN"/>
        </w:rPr>
        <w:fldChar w:fldCharType="end"/>
      </w:r>
    </w:p>
    <w:p>
      <w:pPr>
        <w:widowControl/>
        <w:jc w:val="left"/>
        <w:rPr>
          <w:rFonts w:ascii="宋体" w:hAnsi="宋体" w:eastAsia="宋体"/>
          <w:sz w:val="24"/>
          <w:szCs w:val="24"/>
        </w:rPr>
      </w:pPr>
    </w:p>
    <w:p>
      <w:pPr>
        <w:widowControl/>
        <w:jc w:val="left"/>
        <w:rPr>
          <w:rFonts w:ascii="宋体" w:hAnsi="宋体" w:eastAsia="宋体"/>
          <w:sz w:val="24"/>
          <w:szCs w:val="24"/>
        </w:rPr>
        <w:sectPr>
          <w:footerReference r:id="rId3" w:type="default"/>
          <w:type w:val="continuous"/>
          <w:pgSz w:w="11906" w:h="16838"/>
          <w:pgMar w:top="1440" w:right="1800" w:bottom="1440" w:left="1800" w:header="851" w:footer="992" w:gutter="0"/>
          <w:pgNumType w:fmt="numberInDash" w:start="1"/>
          <w:cols w:space="425" w:num="1"/>
          <w:docGrid w:type="lines" w:linePitch="312" w:charSpace="0"/>
        </w:sectPr>
      </w:pPr>
    </w:p>
    <w:p>
      <w:pPr>
        <w:pStyle w:val="2"/>
        <w:rPr>
          <w:rFonts w:ascii="宋体" w:hAnsi="宋体"/>
        </w:rPr>
      </w:pPr>
      <w:bookmarkStart w:id="0" w:name="_Toc3209582"/>
      <w:bookmarkStart w:id="1" w:name="_Toc58848568"/>
      <w:bookmarkStart w:id="2" w:name="_Toc17656844"/>
      <w:bookmarkStart w:id="3" w:name="_Toc498339257"/>
      <w:r>
        <w:rPr>
          <w:rFonts w:hint="eastAsia" w:ascii="宋体" w:hAnsi="宋体"/>
        </w:rPr>
        <w:t>1</w:t>
      </w:r>
      <w:r>
        <w:rPr>
          <w:rFonts w:ascii="宋体" w:hAnsi="宋体"/>
        </w:rPr>
        <w:t xml:space="preserve">  </w:t>
      </w:r>
      <w:r>
        <w:rPr>
          <w:rFonts w:hint="eastAsia" w:ascii="宋体" w:hAnsi="宋体"/>
        </w:rPr>
        <w:t>总  则</w:t>
      </w:r>
      <w:bookmarkEnd w:id="0"/>
      <w:bookmarkEnd w:id="1"/>
      <w:bookmarkEnd w:id="2"/>
      <w:bookmarkEnd w:id="3"/>
    </w:p>
    <w:p>
      <w:pPr>
        <w:rPr>
          <w:rFonts w:ascii="宋体" w:hAnsi="宋体" w:eastAsia="宋体"/>
          <w:sz w:val="28"/>
          <w:szCs w:val="28"/>
        </w:rPr>
      </w:pPr>
      <w:r>
        <w:rPr>
          <w:rFonts w:ascii="宋体" w:hAnsi="宋体" w:eastAsia="宋体"/>
          <w:b/>
          <w:sz w:val="28"/>
          <w:szCs w:val="28"/>
        </w:rPr>
        <w:t xml:space="preserve">1.0.1  </w:t>
      </w:r>
      <w:r>
        <w:rPr>
          <w:rFonts w:hint="eastAsia" w:ascii="宋体" w:hAnsi="宋体" w:eastAsia="宋体"/>
          <w:sz w:val="28"/>
          <w:szCs w:val="28"/>
        </w:rPr>
        <w:t>为指导风险管理服务行为，提高技术服务水平，制定本服务指南。</w:t>
      </w:r>
    </w:p>
    <w:p>
      <w:pPr>
        <w:rPr>
          <w:rFonts w:ascii="宋体" w:hAnsi="宋体" w:eastAsia="宋体"/>
          <w:sz w:val="28"/>
          <w:szCs w:val="28"/>
        </w:rPr>
      </w:pPr>
      <w:r>
        <w:rPr>
          <w:rFonts w:ascii="宋体" w:hAnsi="宋体" w:eastAsia="宋体"/>
          <w:b/>
          <w:sz w:val="28"/>
          <w:szCs w:val="28"/>
        </w:rPr>
        <w:t>1.0.2</w:t>
      </w:r>
      <w:r>
        <w:rPr>
          <w:rFonts w:ascii="宋体" w:hAnsi="宋体" w:eastAsia="宋体"/>
          <w:sz w:val="28"/>
          <w:szCs w:val="28"/>
        </w:rPr>
        <w:t xml:space="preserve">  </w:t>
      </w:r>
      <w:r>
        <w:rPr>
          <w:rFonts w:hint="eastAsia" w:ascii="宋体" w:hAnsi="宋体" w:eastAsia="宋体"/>
          <w:sz w:val="28"/>
          <w:szCs w:val="28"/>
        </w:rPr>
        <w:t>本服务指南适用于投保建筑工程质量潜在缺陷保险的</w:t>
      </w:r>
      <w:r>
        <w:rPr>
          <w:rFonts w:ascii="宋体" w:hAnsi="宋体" w:eastAsia="宋体"/>
          <w:sz w:val="28"/>
          <w:szCs w:val="28"/>
        </w:rPr>
        <w:t>新建</w:t>
      </w:r>
      <w:r>
        <w:rPr>
          <w:rFonts w:hint="eastAsia" w:ascii="宋体" w:hAnsi="宋体" w:eastAsia="宋体"/>
          <w:sz w:val="28"/>
          <w:szCs w:val="28"/>
        </w:rPr>
        <w:t>、改建、扩建建筑工程的风险管理服务。</w:t>
      </w:r>
    </w:p>
    <w:p>
      <w:pPr>
        <w:rPr>
          <w:rFonts w:ascii="宋体" w:hAnsi="宋体" w:eastAsia="宋体"/>
          <w:sz w:val="28"/>
          <w:szCs w:val="28"/>
        </w:rPr>
      </w:pPr>
      <w:r>
        <w:rPr>
          <w:rFonts w:hint="eastAsia" w:ascii="宋体" w:hAnsi="宋体" w:eastAsia="宋体"/>
          <w:b/>
          <w:bCs/>
          <w:sz w:val="28"/>
          <w:szCs w:val="28"/>
        </w:rPr>
        <w:t>1</w:t>
      </w:r>
      <w:r>
        <w:rPr>
          <w:rFonts w:ascii="宋体" w:hAnsi="宋体" w:eastAsia="宋体"/>
          <w:b/>
          <w:bCs/>
          <w:sz w:val="28"/>
          <w:szCs w:val="28"/>
        </w:rPr>
        <w:t xml:space="preserve">.0.3  </w:t>
      </w:r>
      <w:r>
        <w:rPr>
          <w:rFonts w:hint="eastAsia" w:ascii="宋体" w:hAnsi="宋体" w:eastAsia="宋体"/>
          <w:sz w:val="28"/>
          <w:szCs w:val="28"/>
        </w:rPr>
        <w:t>风险管理服务应从勘察设计、施工直至竣工验收和缺陷责任期结束，实施全过程的风险管理。</w:t>
      </w:r>
    </w:p>
    <w:p>
      <w:pPr>
        <w:rPr>
          <w:rFonts w:ascii="宋体" w:hAnsi="宋体" w:eastAsia="宋体"/>
          <w:sz w:val="28"/>
          <w:szCs w:val="28"/>
        </w:rPr>
      </w:pPr>
      <w:r>
        <w:rPr>
          <w:rFonts w:hint="eastAsia" w:ascii="宋体" w:hAnsi="宋体" w:eastAsia="宋体"/>
          <w:b/>
          <w:sz w:val="28"/>
          <w:szCs w:val="28"/>
        </w:rPr>
        <w:t>1</w:t>
      </w:r>
      <w:r>
        <w:rPr>
          <w:rFonts w:ascii="宋体" w:hAnsi="宋体" w:eastAsia="宋体"/>
          <w:b/>
          <w:sz w:val="28"/>
          <w:szCs w:val="28"/>
        </w:rPr>
        <w:t xml:space="preserve">.0.4  </w:t>
      </w:r>
      <w:r>
        <w:rPr>
          <w:rFonts w:ascii="宋体" w:hAnsi="宋体" w:eastAsia="宋体"/>
          <w:sz w:val="28"/>
          <w:szCs w:val="28"/>
        </w:rPr>
        <w:t>风险管理应满足信息化管理的要求。</w:t>
      </w:r>
    </w:p>
    <w:p>
      <w:pPr>
        <w:rPr>
          <w:rFonts w:ascii="宋体" w:hAnsi="宋体" w:eastAsia="宋体"/>
          <w:sz w:val="28"/>
          <w:szCs w:val="28"/>
        </w:rPr>
      </w:pPr>
      <w:r>
        <w:rPr>
          <w:rFonts w:ascii="宋体" w:hAnsi="宋体" w:eastAsia="宋体"/>
          <w:b/>
          <w:sz w:val="28"/>
          <w:szCs w:val="28"/>
        </w:rPr>
        <w:t>1.0.5</w:t>
      </w:r>
      <w:r>
        <w:rPr>
          <w:rFonts w:ascii="宋体" w:hAnsi="宋体" w:eastAsia="宋体"/>
          <w:sz w:val="28"/>
          <w:szCs w:val="28"/>
        </w:rPr>
        <w:t xml:space="preserve">  </w:t>
      </w:r>
      <w:r>
        <w:rPr>
          <w:rFonts w:hint="eastAsia" w:ascii="宋体" w:hAnsi="宋体" w:eastAsia="宋体"/>
          <w:sz w:val="28"/>
          <w:szCs w:val="28"/>
        </w:rPr>
        <w:t>风险管理服务除应符合本规定外，还应符合国家现行有关标准的规定。</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4" w:name="_Toc17656845"/>
      <w:bookmarkStart w:id="5" w:name="_Toc58848569"/>
      <w:bookmarkStart w:id="6" w:name="_Toc3209583"/>
      <w:r>
        <w:rPr>
          <w:rFonts w:hint="eastAsia" w:ascii="宋体" w:hAnsi="宋体"/>
        </w:rPr>
        <w:t>2</w:t>
      </w:r>
      <w:r>
        <w:rPr>
          <w:rFonts w:ascii="宋体" w:hAnsi="宋体"/>
        </w:rPr>
        <w:t xml:space="preserve">  </w:t>
      </w:r>
      <w:r>
        <w:rPr>
          <w:rFonts w:hint="eastAsia" w:ascii="宋体" w:hAnsi="宋体"/>
        </w:rPr>
        <w:t xml:space="preserve">术 </w:t>
      </w:r>
      <w:r>
        <w:rPr>
          <w:rFonts w:ascii="宋体" w:hAnsi="宋体"/>
        </w:rPr>
        <w:t xml:space="preserve"> </w:t>
      </w:r>
      <w:r>
        <w:rPr>
          <w:rFonts w:hint="eastAsia" w:ascii="宋体" w:hAnsi="宋体"/>
        </w:rPr>
        <w:t>语</w:t>
      </w:r>
      <w:bookmarkEnd w:id="4"/>
      <w:bookmarkEnd w:id="5"/>
      <w:bookmarkEnd w:id="6"/>
    </w:p>
    <w:p>
      <w:pPr>
        <w:spacing w:line="276" w:lineRule="auto"/>
        <w:rPr>
          <w:rFonts w:ascii="宋体" w:hAnsi="宋体" w:eastAsia="宋体"/>
          <w:sz w:val="28"/>
          <w:szCs w:val="28"/>
        </w:rPr>
      </w:pPr>
      <w:r>
        <w:rPr>
          <w:rFonts w:ascii="宋体" w:hAnsi="宋体" w:eastAsia="宋体"/>
          <w:b/>
          <w:sz w:val="28"/>
          <w:szCs w:val="28"/>
        </w:rPr>
        <w:t>2.0.1</w:t>
      </w:r>
      <w:r>
        <w:rPr>
          <w:rFonts w:ascii="宋体" w:hAnsi="宋体" w:eastAsia="宋体"/>
          <w:sz w:val="28"/>
          <w:szCs w:val="28"/>
        </w:rPr>
        <w:t xml:space="preserve">  </w:t>
      </w:r>
      <w:r>
        <w:rPr>
          <w:rFonts w:hint="eastAsia" w:ascii="宋体" w:hAnsi="宋体" w:eastAsia="宋体"/>
          <w:sz w:val="28"/>
          <w:szCs w:val="28"/>
        </w:rPr>
        <w:t>工程质量潜在缺陷保险</w:t>
      </w:r>
      <w:bookmarkStart w:id="7" w:name="_Hlk15553412"/>
      <w:r>
        <w:rPr>
          <w:rFonts w:hint="eastAsia" w:ascii="宋体" w:hAnsi="宋体" w:eastAsia="宋体"/>
          <w:sz w:val="28"/>
          <w:szCs w:val="28"/>
        </w:rPr>
        <w:t>（Inherent</w:t>
      </w:r>
      <w:r>
        <w:rPr>
          <w:rFonts w:ascii="宋体" w:hAnsi="宋体" w:eastAsia="宋体"/>
          <w:sz w:val="28"/>
          <w:szCs w:val="28"/>
        </w:rPr>
        <w:t xml:space="preserve"> </w:t>
      </w:r>
      <w:r>
        <w:rPr>
          <w:rFonts w:hint="eastAsia" w:ascii="宋体" w:hAnsi="宋体" w:eastAsia="宋体"/>
          <w:sz w:val="28"/>
          <w:szCs w:val="28"/>
        </w:rPr>
        <w:t>Defects Insurance）</w:t>
      </w:r>
    </w:p>
    <w:bookmarkEnd w:id="7"/>
    <w:p>
      <w:pPr>
        <w:spacing w:line="276" w:lineRule="auto"/>
        <w:ind w:firstLine="560" w:firstLineChars="200"/>
        <w:rPr>
          <w:rFonts w:ascii="宋体" w:hAnsi="宋体" w:eastAsia="宋体"/>
          <w:sz w:val="28"/>
          <w:szCs w:val="28"/>
        </w:rPr>
      </w:pPr>
      <w:bookmarkStart w:id="8" w:name="_Hlk15552737"/>
      <w:r>
        <w:rPr>
          <w:rFonts w:hint="eastAsia" w:ascii="宋体" w:hAnsi="宋体" w:eastAsia="宋体"/>
          <w:sz w:val="28"/>
          <w:szCs w:val="28"/>
        </w:rPr>
        <w:t>是指由建设单位投保的，根据保险合同约定，保险公司对在正常使用条件下，在保险期间内由于工程质量潜在缺陷所导致的被保建筑物的物质损坏，履行赔偿义务的保险。</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.0.2</w:t>
      </w:r>
      <w:r>
        <w:rPr>
          <w:rFonts w:ascii="宋体" w:hAnsi="宋体" w:eastAsia="宋体"/>
          <w:sz w:val="28"/>
          <w:szCs w:val="28"/>
        </w:rPr>
        <w:t xml:space="preserve">  </w:t>
      </w:r>
      <w:r>
        <w:rPr>
          <w:rFonts w:hint="eastAsia" w:ascii="宋体" w:hAnsi="宋体" w:eastAsia="宋体"/>
          <w:sz w:val="28"/>
          <w:szCs w:val="28"/>
        </w:rPr>
        <w:t>质量缺陷</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是指房屋建筑工程的质量不符合工程建设强制性标准以及合同的约定。</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.0.3</w:t>
      </w:r>
      <w:r>
        <w:rPr>
          <w:rFonts w:ascii="宋体" w:hAnsi="宋体" w:eastAsia="宋体"/>
          <w:sz w:val="28"/>
          <w:szCs w:val="28"/>
        </w:rPr>
        <w:t xml:space="preserve">  </w:t>
      </w:r>
      <w:r>
        <w:rPr>
          <w:rFonts w:hint="eastAsia" w:ascii="宋体" w:hAnsi="宋体" w:eastAsia="宋体"/>
          <w:sz w:val="28"/>
          <w:szCs w:val="28"/>
        </w:rPr>
        <w:t>工程质量潜在缺陷</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是指房屋建筑工程在竣工验收时未被发现的，在正常使用过程中因勘察、设计、施工、</w:t>
      </w:r>
      <w:r>
        <w:rPr>
          <w:rFonts w:ascii="宋体" w:hAnsi="宋体" w:eastAsia="宋体"/>
          <w:sz w:val="28"/>
          <w:szCs w:val="28"/>
        </w:rPr>
        <w:t>材料</w:t>
      </w:r>
      <w:r>
        <w:rPr>
          <w:rFonts w:hint="eastAsia" w:ascii="宋体" w:hAnsi="宋体" w:eastAsia="宋体"/>
          <w:sz w:val="28"/>
          <w:szCs w:val="28"/>
        </w:rPr>
        <w:t>等原因造成被保险建筑的物质损失的缺陷。</w:t>
      </w:r>
    </w:p>
    <w:bookmarkEnd w:id="8"/>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.0.4  </w:t>
      </w:r>
      <w:r>
        <w:rPr>
          <w:rFonts w:hint="eastAsia" w:ascii="宋体" w:hAnsi="宋体" w:eastAsia="宋体"/>
          <w:sz w:val="28"/>
          <w:szCs w:val="28"/>
        </w:rPr>
        <w:t>缺陷责任期（</w:t>
      </w:r>
      <w:r>
        <w:rPr>
          <w:rFonts w:ascii="宋体" w:hAnsi="宋体" w:eastAsia="宋体"/>
          <w:sz w:val="28"/>
          <w:szCs w:val="28"/>
        </w:rPr>
        <w:t>Defects liability period</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根据相关法律法规和合同约定，参建单位对工程质量缺陷承担整改维修的责任期限。</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在本指南的房屋建筑工程质量潜在缺陷保险中，缺陷责任期也等同于该保险的等待期，《海南省房屋建筑工程质量潜在缺陷保险实施细</w:t>
      </w:r>
      <w:r>
        <w:rPr>
          <w:rFonts w:hint="eastAsia" w:ascii="宋体" w:hAnsi="宋体" w:eastAsia="宋体"/>
          <w:sz w:val="28"/>
          <w:szCs w:val="28"/>
          <w:highlight w:val="none"/>
        </w:rPr>
        <w:t>则（试行）》</w:t>
      </w:r>
      <w:r>
        <w:rPr>
          <w:rFonts w:hint="eastAsia" w:ascii="宋体" w:hAnsi="宋体" w:eastAsia="宋体"/>
          <w:sz w:val="28"/>
          <w:szCs w:val="28"/>
        </w:rPr>
        <w:t>第六条规定“在保险期限之前分别有2年的等待期。保险期限从该工程质量潜在缺陷保险承保的建筑工程竣工验收合格之日起两年后开始起算。”</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.0.5  </w:t>
      </w:r>
      <w:r>
        <w:rPr>
          <w:rFonts w:hint="eastAsia" w:ascii="宋体" w:hAnsi="宋体" w:eastAsia="宋体"/>
          <w:sz w:val="28"/>
          <w:szCs w:val="28"/>
        </w:rPr>
        <w:t>风险点（</w:t>
      </w:r>
      <w:r>
        <w:rPr>
          <w:rFonts w:ascii="宋体" w:hAnsi="宋体" w:eastAsia="宋体"/>
          <w:sz w:val="28"/>
          <w:szCs w:val="28"/>
        </w:rPr>
        <w:t>Risk source</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可能导致风险事件发生的因素。</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.0.6  </w:t>
      </w:r>
      <w:r>
        <w:rPr>
          <w:rFonts w:hint="eastAsia" w:ascii="宋体" w:hAnsi="宋体" w:eastAsia="宋体"/>
          <w:sz w:val="28"/>
          <w:szCs w:val="28"/>
        </w:rPr>
        <w:t>风险识别（R</w:t>
      </w:r>
      <w:r>
        <w:rPr>
          <w:rFonts w:ascii="宋体" w:hAnsi="宋体" w:eastAsia="宋体"/>
          <w:sz w:val="28"/>
          <w:szCs w:val="28"/>
        </w:rPr>
        <w:t>isk identification</w:t>
      </w:r>
      <w:bookmarkStart w:id="49" w:name="_GoBack"/>
      <w:bookmarkEnd w:id="49"/>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是将建筑工程建设全过程中涉及的各种复杂事物分解成简单的、易识别的基本单元，针对主要的风险点和发生风险的严重性进行技术分析、描述的过程。</w:t>
      </w:r>
    </w:p>
    <w:p>
      <w:pPr>
        <w:spacing w:line="276" w:lineRule="auto"/>
        <w:rPr>
          <w:rFonts w:ascii="宋体" w:hAnsi="宋体" w:eastAsia="宋体"/>
          <w:sz w:val="28"/>
          <w:szCs w:val="28"/>
        </w:rPr>
      </w:pPr>
      <w:r>
        <w:rPr>
          <w:rFonts w:ascii="宋体" w:hAnsi="宋体" w:eastAsia="宋体"/>
          <w:b/>
          <w:sz w:val="28"/>
          <w:szCs w:val="28"/>
        </w:rPr>
        <w:t xml:space="preserve">2.0.7  </w:t>
      </w:r>
      <w:r>
        <w:rPr>
          <w:rFonts w:hint="eastAsia" w:ascii="宋体" w:hAnsi="宋体" w:eastAsia="宋体"/>
          <w:sz w:val="28"/>
          <w:szCs w:val="28"/>
        </w:rPr>
        <w:t>风险评价（R</w:t>
      </w:r>
      <w:r>
        <w:rPr>
          <w:rFonts w:ascii="宋体" w:hAnsi="宋体" w:eastAsia="宋体"/>
          <w:sz w:val="28"/>
          <w:szCs w:val="28"/>
        </w:rPr>
        <w:t>isk evaluation</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对比风险分析结果和风险可接受准则，以确定风险是否可以接受或容忍的程度。风险评价有助于风险应对的决策。</w:t>
      </w:r>
    </w:p>
    <w:p>
      <w:pPr>
        <w:spacing w:line="276" w:lineRule="auto"/>
        <w:rPr>
          <w:rFonts w:ascii="宋体" w:hAnsi="宋体" w:eastAsia="宋体"/>
          <w:sz w:val="28"/>
          <w:szCs w:val="28"/>
        </w:rPr>
      </w:pPr>
      <w:r>
        <w:rPr>
          <w:rFonts w:ascii="宋体" w:hAnsi="宋体" w:eastAsia="宋体"/>
          <w:b/>
          <w:sz w:val="28"/>
          <w:szCs w:val="28"/>
        </w:rPr>
        <w:t xml:space="preserve">2.0.8  </w:t>
      </w:r>
      <w:r>
        <w:rPr>
          <w:rFonts w:hint="eastAsia" w:ascii="宋体" w:hAnsi="宋体" w:eastAsia="宋体"/>
          <w:sz w:val="28"/>
          <w:szCs w:val="28"/>
        </w:rPr>
        <w:t>风险分析（R</w:t>
      </w:r>
      <w:r>
        <w:rPr>
          <w:rFonts w:ascii="宋体" w:hAnsi="宋体" w:eastAsia="宋体"/>
          <w:sz w:val="28"/>
          <w:szCs w:val="28"/>
        </w:rPr>
        <w:t>isk analysis</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即认识、剖析风险发生的本质，综合衡量风险在项目实施过程中的发生概率和风险事件所造成的损失，判定其对实现风险目标的影响程度，运用定性或定量的方法评定其风险等级。</w:t>
      </w:r>
    </w:p>
    <w:p>
      <w:pPr>
        <w:spacing w:line="276" w:lineRule="auto"/>
        <w:rPr>
          <w:rFonts w:ascii="宋体" w:hAnsi="宋体" w:eastAsia="宋体"/>
          <w:sz w:val="28"/>
          <w:szCs w:val="28"/>
        </w:rPr>
      </w:pPr>
      <w:r>
        <w:rPr>
          <w:rFonts w:ascii="宋体" w:hAnsi="宋体" w:eastAsia="宋体"/>
          <w:b/>
          <w:sz w:val="28"/>
          <w:szCs w:val="28"/>
        </w:rPr>
        <w:t xml:space="preserve">2.0.9  </w:t>
      </w:r>
      <w:r>
        <w:rPr>
          <w:rFonts w:hint="eastAsia" w:ascii="宋体" w:hAnsi="宋体" w:eastAsia="宋体"/>
          <w:sz w:val="28"/>
          <w:szCs w:val="28"/>
        </w:rPr>
        <w:t>风险控制（Ris</w:t>
      </w:r>
      <w:r>
        <w:rPr>
          <w:rFonts w:ascii="宋体" w:hAnsi="宋体" w:eastAsia="宋体"/>
          <w:sz w:val="28"/>
          <w:szCs w:val="28"/>
        </w:rPr>
        <w:t>k control</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是根据风险识别和评价的结果确定风险目标，采取措施减小风险发生的概率或风险发生的损失，将风险降低到可接受水平的过程。</w:t>
      </w:r>
    </w:p>
    <w:p>
      <w:pPr>
        <w:spacing w:line="276" w:lineRule="auto"/>
        <w:rPr>
          <w:rFonts w:ascii="宋体" w:hAnsi="宋体" w:eastAsia="宋体"/>
          <w:sz w:val="28"/>
          <w:szCs w:val="28"/>
        </w:rPr>
      </w:pPr>
      <w:r>
        <w:rPr>
          <w:rFonts w:ascii="宋体" w:hAnsi="宋体" w:eastAsia="宋体"/>
          <w:b/>
          <w:sz w:val="28"/>
          <w:szCs w:val="28"/>
        </w:rPr>
        <w:t xml:space="preserve">2.0.10  </w:t>
      </w:r>
      <w:r>
        <w:rPr>
          <w:rFonts w:hint="eastAsia" w:ascii="宋体" w:hAnsi="宋体" w:eastAsia="宋体"/>
          <w:sz w:val="28"/>
          <w:szCs w:val="28"/>
        </w:rPr>
        <w:t>风险评估（Ris</w:t>
      </w:r>
      <w:r>
        <w:rPr>
          <w:rFonts w:ascii="宋体" w:hAnsi="宋体" w:eastAsia="宋体"/>
          <w:sz w:val="28"/>
          <w:szCs w:val="28"/>
        </w:rPr>
        <w:t>k assessment</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包括风险识别、风险分析、风险评价三个步骤，对建筑工程中存在的各种风险及其影响程度进行综合分析。</w:t>
      </w:r>
    </w:p>
    <w:p>
      <w:pPr>
        <w:spacing w:line="276" w:lineRule="auto"/>
        <w:rPr>
          <w:rFonts w:ascii="宋体" w:hAnsi="宋体" w:eastAsia="宋体"/>
          <w:sz w:val="28"/>
          <w:szCs w:val="28"/>
        </w:rPr>
      </w:pPr>
      <w:r>
        <w:rPr>
          <w:rFonts w:ascii="宋体" w:hAnsi="宋体" w:eastAsia="宋体"/>
          <w:b/>
          <w:sz w:val="28"/>
          <w:szCs w:val="28"/>
        </w:rPr>
        <w:t xml:space="preserve">2.0.11  </w:t>
      </w:r>
      <w:r>
        <w:rPr>
          <w:rFonts w:hint="eastAsia" w:ascii="宋体" w:hAnsi="宋体" w:eastAsia="宋体"/>
          <w:sz w:val="28"/>
          <w:szCs w:val="28"/>
        </w:rPr>
        <w:t>风险跟踪（Ris</w:t>
      </w:r>
      <w:r>
        <w:rPr>
          <w:rFonts w:ascii="宋体" w:hAnsi="宋体" w:eastAsia="宋体"/>
          <w:sz w:val="28"/>
          <w:szCs w:val="28"/>
        </w:rPr>
        <w:t>k tracking</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风险管理过程中，对风险进行的全过程动态评估。</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.0.12  </w:t>
      </w:r>
      <w:r>
        <w:rPr>
          <w:rFonts w:hint="eastAsia" w:ascii="宋体" w:hAnsi="宋体" w:eastAsia="宋体"/>
          <w:sz w:val="28"/>
          <w:szCs w:val="28"/>
        </w:rPr>
        <w:t>过程检查（</w:t>
      </w:r>
      <w:r>
        <w:rPr>
          <w:rFonts w:ascii="宋体" w:hAnsi="宋体" w:eastAsia="宋体"/>
          <w:sz w:val="28"/>
          <w:szCs w:val="28"/>
        </w:rPr>
        <w:t>Process monitoring</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技术风险管理机构在工程实施过程中从事的现场风险管理工作。</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9" w:name="_Toc58848570"/>
      <w:bookmarkStart w:id="10" w:name="_Toc17656846"/>
      <w:bookmarkStart w:id="11" w:name="_Toc3209584"/>
      <w:r>
        <w:rPr>
          <w:rFonts w:hint="eastAsia" w:ascii="宋体" w:hAnsi="宋体"/>
        </w:rPr>
        <w:t>3</w:t>
      </w:r>
      <w:r>
        <w:rPr>
          <w:rFonts w:ascii="宋体" w:hAnsi="宋体"/>
        </w:rPr>
        <w:t xml:space="preserve">  </w:t>
      </w:r>
      <w:r>
        <w:rPr>
          <w:rFonts w:hint="eastAsia" w:ascii="宋体" w:hAnsi="宋体"/>
        </w:rPr>
        <w:t>基本规定</w:t>
      </w:r>
      <w:bookmarkEnd w:id="9"/>
      <w:bookmarkEnd w:id="10"/>
      <w:bookmarkEnd w:id="11"/>
    </w:p>
    <w:p>
      <w:pPr>
        <w:pStyle w:val="3"/>
        <w:rPr>
          <w:rFonts w:ascii="宋体" w:hAnsi="宋体"/>
        </w:rPr>
      </w:pPr>
      <w:bookmarkStart w:id="12" w:name="_Toc58848571"/>
      <w:r>
        <w:rPr>
          <w:rFonts w:hint="eastAsia" w:ascii="宋体" w:hAnsi="宋体"/>
        </w:rPr>
        <w:t>3</w:t>
      </w:r>
      <w:r>
        <w:rPr>
          <w:rFonts w:ascii="宋体" w:hAnsi="宋体"/>
        </w:rPr>
        <w:t xml:space="preserve">.1  </w:t>
      </w:r>
      <w:r>
        <w:rPr>
          <w:rFonts w:hint="eastAsia" w:ascii="宋体" w:hAnsi="宋体"/>
        </w:rPr>
        <w:t>一</w:t>
      </w:r>
      <w:r>
        <w:rPr>
          <w:rStyle w:val="40"/>
          <w:rFonts w:hint="eastAsia" w:ascii="宋体" w:hAnsi="宋体"/>
          <w:b/>
          <w:bCs/>
          <w:kern w:val="2"/>
          <w:szCs w:val="32"/>
        </w:rPr>
        <w:t>般规定</w:t>
      </w:r>
      <w:bookmarkEnd w:id="12"/>
    </w:p>
    <w:p>
      <w:pPr>
        <w:rPr>
          <w:rFonts w:ascii="宋体" w:hAnsi="宋体" w:eastAsia="宋体"/>
          <w:bCs/>
          <w:sz w:val="28"/>
          <w:szCs w:val="28"/>
        </w:rPr>
      </w:pPr>
      <w:r>
        <w:rPr>
          <w:rFonts w:hint="eastAsia" w:ascii="宋体" w:hAnsi="宋体" w:eastAsia="宋体"/>
          <w:b/>
          <w:sz w:val="28"/>
          <w:szCs w:val="28"/>
        </w:rPr>
        <w:t>3</w:t>
      </w:r>
      <w:r>
        <w:rPr>
          <w:rFonts w:ascii="宋体" w:hAnsi="宋体" w:eastAsia="宋体"/>
          <w:b/>
          <w:sz w:val="28"/>
          <w:szCs w:val="28"/>
        </w:rPr>
        <w:t xml:space="preserve">.1.1  </w:t>
      </w:r>
      <w:r>
        <w:rPr>
          <w:rFonts w:hint="eastAsia" w:ascii="宋体" w:hAnsi="宋体" w:eastAsia="宋体"/>
          <w:bCs/>
          <w:sz w:val="28"/>
          <w:szCs w:val="28"/>
        </w:rPr>
        <w:t>技术风险管理机构应当具备第三方独立性，不得与该工程参建单位存有关联关系，不得直接或间接参与该工程的项目管理、勘察、设计、施工、监理、材料供应等服务。</w:t>
      </w:r>
    </w:p>
    <w:p>
      <w:pPr>
        <w:spacing w:line="276" w:lineRule="auto"/>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.1.2  </w:t>
      </w:r>
      <w:r>
        <w:rPr>
          <w:rFonts w:hint="eastAsia" w:ascii="宋体" w:hAnsi="宋体" w:eastAsia="宋体"/>
          <w:sz w:val="28"/>
          <w:szCs w:val="28"/>
        </w:rPr>
        <w:t>技术风险管理机构应公平公正、实事求是、诚信、严谨、科学地开展相关技术风险管理服务。</w:t>
      </w:r>
    </w:p>
    <w:p>
      <w:pPr>
        <w:rPr>
          <w:rFonts w:ascii="宋体" w:hAnsi="宋体" w:eastAsia="宋体"/>
          <w:bCs/>
          <w:sz w:val="28"/>
          <w:szCs w:val="28"/>
        </w:rPr>
      </w:pPr>
      <w:r>
        <w:rPr>
          <w:rFonts w:hint="eastAsia" w:ascii="宋体" w:hAnsi="宋体" w:eastAsia="宋体"/>
          <w:b/>
          <w:sz w:val="28"/>
          <w:szCs w:val="28"/>
        </w:rPr>
        <w:t>3</w:t>
      </w:r>
      <w:r>
        <w:rPr>
          <w:rFonts w:ascii="宋体" w:hAnsi="宋体" w:eastAsia="宋体"/>
          <w:b/>
          <w:sz w:val="28"/>
          <w:szCs w:val="28"/>
        </w:rPr>
        <w:t xml:space="preserve">.1.3  </w:t>
      </w:r>
      <w:r>
        <w:rPr>
          <w:rFonts w:hint="eastAsia" w:ascii="宋体" w:hAnsi="宋体" w:eastAsia="宋体"/>
          <w:bCs/>
          <w:sz w:val="28"/>
          <w:szCs w:val="28"/>
        </w:rPr>
        <w:t>技术风险管理机构在风险管理合同签订后应根据建筑工程拟承保的内容组建相应的技术团队，技术团队的成员应涵盖项目实施的全过程、全专业。</w:t>
      </w:r>
    </w:p>
    <w:p>
      <w:pPr>
        <w:rPr>
          <w:rFonts w:ascii="宋体" w:hAnsi="宋体" w:eastAsia="宋体"/>
          <w:bCs/>
          <w:sz w:val="28"/>
          <w:szCs w:val="28"/>
        </w:rPr>
      </w:pPr>
      <w:r>
        <w:rPr>
          <w:rFonts w:hint="eastAsia" w:ascii="宋体" w:hAnsi="宋体" w:eastAsia="宋体"/>
          <w:b/>
          <w:bCs/>
          <w:sz w:val="28"/>
          <w:szCs w:val="28"/>
        </w:rPr>
        <w:t>3</w:t>
      </w:r>
      <w:r>
        <w:rPr>
          <w:rFonts w:ascii="宋体" w:hAnsi="宋体" w:eastAsia="宋体"/>
          <w:b/>
          <w:bCs/>
          <w:sz w:val="28"/>
          <w:szCs w:val="28"/>
        </w:rPr>
        <w:t xml:space="preserve">.1.4  </w:t>
      </w:r>
      <w:r>
        <w:rPr>
          <w:rFonts w:hint="eastAsia" w:ascii="宋体" w:hAnsi="宋体" w:eastAsia="宋体"/>
          <w:bCs/>
          <w:sz w:val="28"/>
          <w:szCs w:val="28"/>
        </w:rPr>
        <w:t>技术风险管理机构应按合同约定配备满足质量管理和风险管理所需要的</w:t>
      </w:r>
      <w:r>
        <w:rPr>
          <w:rFonts w:ascii="宋体" w:hAnsi="宋体" w:eastAsia="宋体"/>
          <w:bCs/>
          <w:sz w:val="28"/>
          <w:szCs w:val="28"/>
        </w:rPr>
        <w:t>检测设备和工器具</w:t>
      </w:r>
      <w:r>
        <w:rPr>
          <w:rFonts w:hint="eastAsia" w:ascii="宋体" w:hAnsi="宋体" w:eastAsia="宋体"/>
          <w:bCs/>
          <w:sz w:val="28"/>
          <w:szCs w:val="28"/>
        </w:rPr>
        <w:t>。</w:t>
      </w:r>
    </w:p>
    <w:p>
      <w:pPr>
        <w:rPr>
          <w:rFonts w:ascii="宋体" w:hAnsi="宋体" w:eastAsia="宋体"/>
          <w:bCs/>
          <w:sz w:val="28"/>
          <w:szCs w:val="28"/>
        </w:rPr>
      </w:pPr>
      <w:r>
        <w:rPr>
          <w:rFonts w:ascii="宋体" w:hAnsi="宋体" w:eastAsia="宋体"/>
          <w:b/>
          <w:bCs/>
          <w:sz w:val="28"/>
          <w:szCs w:val="28"/>
        </w:rPr>
        <w:t xml:space="preserve">3.1.5  </w:t>
      </w:r>
      <w:r>
        <w:rPr>
          <w:rFonts w:hint="eastAsia" w:ascii="宋体" w:hAnsi="宋体" w:eastAsia="宋体"/>
          <w:bCs/>
          <w:sz w:val="28"/>
          <w:szCs w:val="28"/>
        </w:rPr>
        <w:t>经保险公司和建设单位共同授权，技术风险管理机构根据工作需要可在不提前告知参建方的情况下进入现场开展风险管理活动，并査阅相关的技术资料和管理文件，参建各方有义务配合其管理工作的顺利开展。</w:t>
      </w:r>
    </w:p>
    <w:p>
      <w:pPr>
        <w:widowControl/>
        <w:jc w:val="left"/>
        <w:rPr>
          <w:rFonts w:ascii="宋体" w:hAnsi="宋体" w:eastAsia="宋体"/>
          <w:bCs/>
          <w:sz w:val="28"/>
          <w:szCs w:val="28"/>
        </w:rPr>
      </w:pPr>
      <w:r>
        <w:rPr>
          <w:rFonts w:ascii="宋体" w:hAnsi="宋体" w:eastAsia="宋体"/>
          <w:bCs/>
          <w:sz w:val="28"/>
          <w:szCs w:val="28"/>
        </w:rPr>
        <w:br w:type="page"/>
      </w:r>
    </w:p>
    <w:p>
      <w:pPr>
        <w:pStyle w:val="3"/>
        <w:rPr>
          <w:rFonts w:ascii="宋体" w:hAnsi="宋体"/>
        </w:rPr>
      </w:pPr>
      <w:bookmarkStart w:id="13" w:name="_Toc58848572"/>
      <w:r>
        <w:rPr>
          <w:rFonts w:hint="eastAsia" w:ascii="宋体" w:hAnsi="宋体"/>
        </w:rPr>
        <w:t>3</w:t>
      </w:r>
      <w:r>
        <w:rPr>
          <w:rFonts w:ascii="宋体" w:hAnsi="宋体"/>
        </w:rPr>
        <w:t xml:space="preserve">.2  </w:t>
      </w:r>
      <w:r>
        <w:rPr>
          <w:rFonts w:hint="eastAsia" w:ascii="宋体" w:hAnsi="宋体"/>
        </w:rPr>
        <w:t>工作范围</w:t>
      </w:r>
      <w:bookmarkEnd w:id="13"/>
    </w:p>
    <w:p>
      <w:pPr>
        <w:rPr>
          <w:rFonts w:ascii="宋体" w:hAnsi="宋体" w:eastAsia="宋体"/>
          <w:bCs/>
          <w:sz w:val="28"/>
          <w:szCs w:val="28"/>
        </w:rPr>
      </w:pPr>
      <w:r>
        <w:rPr>
          <w:rFonts w:ascii="宋体" w:hAnsi="宋体" w:eastAsia="宋体"/>
          <w:b/>
          <w:bCs/>
          <w:sz w:val="28"/>
          <w:szCs w:val="28"/>
        </w:rPr>
        <w:t xml:space="preserve">3.2.1  </w:t>
      </w:r>
      <w:r>
        <w:rPr>
          <w:rFonts w:hint="eastAsia" w:ascii="宋体" w:hAnsi="宋体" w:eastAsia="宋体"/>
          <w:bCs/>
          <w:sz w:val="28"/>
          <w:szCs w:val="28"/>
        </w:rPr>
        <w:t>风险管理服务的范围应与保险公司承保的建筑工程质量潜在缺陷保险的保单内容一致并同时满足相关政策文件的规定。</w:t>
      </w:r>
    </w:p>
    <w:p>
      <w:pPr>
        <w:rPr>
          <w:rFonts w:ascii="宋体" w:hAnsi="宋体" w:eastAsia="宋体"/>
          <w:bCs/>
          <w:sz w:val="28"/>
          <w:szCs w:val="28"/>
        </w:rPr>
      </w:pPr>
      <w:r>
        <w:rPr>
          <w:rFonts w:ascii="宋体" w:hAnsi="宋体" w:eastAsia="宋体"/>
          <w:b/>
          <w:bCs/>
          <w:sz w:val="28"/>
          <w:szCs w:val="28"/>
        </w:rPr>
        <w:t xml:space="preserve">3.2.2  </w:t>
      </w:r>
      <w:r>
        <w:rPr>
          <w:rFonts w:hint="eastAsia" w:ascii="宋体" w:hAnsi="宋体" w:eastAsia="宋体"/>
          <w:bCs/>
          <w:sz w:val="28"/>
          <w:szCs w:val="28"/>
        </w:rPr>
        <w:t>根据建筑工程质量潜在缺陷保险的保单内容可以分为以下几个分项：</w:t>
      </w:r>
    </w:p>
    <w:p>
      <w:pPr>
        <w:jc w:val="center"/>
        <w:rPr>
          <w:rFonts w:ascii="宋体" w:hAnsi="宋体" w:eastAsia="宋体"/>
          <w:b/>
          <w:bCs/>
          <w:sz w:val="28"/>
          <w:szCs w:val="28"/>
        </w:rPr>
      </w:pPr>
      <w:r>
        <w:rPr>
          <w:rFonts w:hint="eastAsia" w:ascii="宋体" w:hAnsi="宋体" w:eastAsia="宋体"/>
          <w:b/>
          <w:bCs/>
          <w:sz w:val="28"/>
          <w:szCs w:val="28"/>
        </w:rPr>
        <w:t>表</w:t>
      </w:r>
      <w:r>
        <w:rPr>
          <w:rFonts w:ascii="宋体" w:hAnsi="宋体" w:eastAsia="宋体"/>
          <w:b/>
          <w:bCs/>
          <w:sz w:val="28"/>
          <w:szCs w:val="28"/>
        </w:rPr>
        <w:t xml:space="preserve">3.2.2  </w:t>
      </w:r>
      <w:r>
        <w:rPr>
          <w:rFonts w:hint="eastAsia" w:ascii="宋体" w:hAnsi="宋体" w:eastAsia="宋体"/>
          <w:b/>
          <w:bCs/>
          <w:sz w:val="28"/>
          <w:szCs w:val="28"/>
        </w:rPr>
        <w:t>I</w:t>
      </w:r>
      <w:r>
        <w:rPr>
          <w:rFonts w:ascii="宋体" w:hAnsi="宋体" w:eastAsia="宋体"/>
          <w:b/>
          <w:bCs/>
          <w:sz w:val="28"/>
          <w:szCs w:val="28"/>
        </w:rPr>
        <w:t>DI</w:t>
      </w:r>
      <w:r>
        <w:rPr>
          <w:rFonts w:hint="eastAsia" w:ascii="宋体" w:hAnsi="宋体" w:eastAsia="宋体"/>
          <w:b/>
          <w:bCs/>
          <w:sz w:val="28"/>
          <w:szCs w:val="28"/>
        </w:rPr>
        <w:t>保单内容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8"/>
        <w:gridCol w:w="1701"/>
        <w:gridCol w:w="850"/>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类型</w:t>
            </w:r>
          </w:p>
        </w:tc>
        <w:tc>
          <w:tcPr>
            <w:tcW w:w="1701"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分项</w:t>
            </w:r>
          </w:p>
        </w:tc>
        <w:tc>
          <w:tcPr>
            <w:tcW w:w="850"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保障年限</w:t>
            </w:r>
          </w:p>
        </w:tc>
        <w:tc>
          <w:tcPr>
            <w:tcW w:w="4757"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restart"/>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主险</w:t>
            </w: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地基基础与</w:t>
            </w:r>
          </w:p>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主体结构</w:t>
            </w:r>
          </w:p>
        </w:tc>
        <w:tc>
          <w:tcPr>
            <w:tcW w:w="85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1</w:t>
            </w:r>
            <w:r>
              <w:rPr>
                <w:rFonts w:ascii="宋体" w:hAnsi="宋体" w:eastAsia="宋体" w:cs="Times New Roman"/>
                <w:bCs/>
                <w:kern w:val="0"/>
                <w:sz w:val="24"/>
                <w:szCs w:val="24"/>
              </w:rPr>
              <w:t>0</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1、整体或局部倒塌；</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2、地基产生超出设计规范的不均匀沉降；</w:t>
            </w:r>
          </w:p>
          <w:p>
            <w:pPr>
              <w:rPr>
                <w:rFonts w:ascii="宋体" w:hAnsi="宋体" w:eastAsia="宋体" w:cs="Times New Roman"/>
                <w:bCs/>
                <w:kern w:val="0"/>
                <w:sz w:val="24"/>
                <w:szCs w:val="24"/>
              </w:rPr>
            </w:pPr>
            <w:r>
              <w:rPr>
                <w:rFonts w:ascii="宋体" w:hAnsi="宋体" w:eastAsia="宋体" w:cs="Times New Roman"/>
                <w:bCs/>
                <w:kern w:val="0"/>
                <w:sz w:val="24"/>
                <w:szCs w:val="24"/>
              </w:rPr>
              <w:t>3</w:t>
            </w:r>
            <w:r>
              <w:rPr>
                <w:rFonts w:hint="eastAsia" w:ascii="宋体" w:hAnsi="宋体" w:eastAsia="宋体" w:cs="Times New Roman"/>
                <w:bCs/>
                <w:kern w:val="0"/>
                <w:sz w:val="24"/>
                <w:szCs w:val="24"/>
              </w:rPr>
              <w:t>、主体和承重结构部位出现影响结构安全的裂缝、变形、破损、断裂；</w:t>
            </w:r>
          </w:p>
          <w:p>
            <w:pPr>
              <w:rPr>
                <w:rFonts w:ascii="宋体" w:hAnsi="宋体" w:eastAsia="宋体" w:cs="Times New Roman"/>
                <w:bCs/>
                <w:kern w:val="0"/>
                <w:sz w:val="24"/>
                <w:szCs w:val="24"/>
              </w:rPr>
            </w:pPr>
            <w:r>
              <w:rPr>
                <w:rFonts w:ascii="宋体" w:hAnsi="宋体" w:eastAsia="宋体" w:cs="Times New Roman"/>
                <w:bCs/>
                <w:kern w:val="0"/>
                <w:sz w:val="24"/>
                <w:szCs w:val="24"/>
              </w:rPr>
              <w:t>4</w:t>
            </w:r>
            <w:r>
              <w:rPr>
                <w:rFonts w:hint="eastAsia" w:ascii="宋体" w:hAnsi="宋体" w:eastAsia="宋体" w:cs="Times New Roman"/>
                <w:bCs/>
                <w:kern w:val="0"/>
                <w:sz w:val="24"/>
                <w:szCs w:val="24"/>
              </w:rPr>
              <w:t>、阳台、雨棚、挑檐、飘窗等悬挑构件坍塌和结构外墙坍塌或出现影响使用安全的裂缝、破损、断裂；</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ascii="宋体" w:hAnsi="宋体" w:eastAsia="宋体" w:cs="Times New Roman"/>
                <w:bCs/>
                <w:kern w:val="0"/>
                <w:sz w:val="24"/>
                <w:szCs w:val="24"/>
              </w:rPr>
            </w:pP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防水工程</w:t>
            </w:r>
          </w:p>
        </w:tc>
        <w:tc>
          <w:tcPr>
            <w:tcW w:w="850" w:type="dxa"/>
            <w:vAlign w:val="center"/>
          </w:tcPr>
          <w:p>
            <w:pPr>
              <w:jc w:val="center"/>
              <w:rPr>
                <w:rFonts w:ascii="宋体" w:hAnsi="宋体" w:eastAsia="宋体" w:cs="Times New Roman"/>
                <w:bCs/>
                <w:kern w:val="0"/>
                <w:sz w:val="24"/>
                <w:szCs w:val="24"/>
              </w:rPr>
            </w:pPr>
            <w:r>
              <w:rPr>
                <w:rFonts w:ascii="宋体" w:hAnsi="宋体" w:eastAsia="宋体" w:cs="Times New Roman"/>
                <w:bCs/>
                <w:kern w:val="0"/>
                <w:sz w:val="24"/>
                <w:szCs w:val="24"/>
              </w:rPr>
              <w:t>5</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1、地下、屋面、厨房、厕浴间防水渗漏；</w:t>
            </w:r>
          </w:p>
          <w:p>
            <w:pPr>
              <w:rPr>
                <w:rFonts w:ascii="宋体" w:hAnsi="宋体" w:eastAsia="宋体" w:cs="Times New Roman"/>
                <w:bCs/>
                <w:kern w:val="0"/>
                <w:sz w:val="24"/>
                <w:szCs w:val="24"/>
              </w:rPr>
            </w:pPr>
            <w:r>
              <w:rPr>
                <w:rFonts w:ascii="宋体" w:hAnsi="宋体" w:eastAsia="宋体" w:cs="Times New Roman"/>
                <w:bCs/>
                <w:kern w:val="0"/>
                <w:sz w:val="24"/>
                <w:szCs w:val="24"/>
              </w:rPr>
              <w:t>2</w:t>
            </w:r>
            <w:r>
              <w:rPr>
                <w:rFonts w:hint="eastAsia" w:ascii="宋体" w:hAnsi="宋体" w:eastAsia="宋体" w:cs="Times New Roman"/>
                <w:bCs/>
                <w:kern w:val="0"/>
                <w:sz w:val="24"/>
                <w:szCs w:val="24"/>
              </w:rPr>
              <w:t>、外墙（含外窗与主体结构的接缝处）渗漏；</w:t>
            </w:r>
          </w:p>
          <w:p>
            <w:pPr>
              <w:rPr>
                <w:rFonts w:ascii="宋体" w:hAnsi="宋体" w:eastAsia="宋体" w:cs="Times New Roman"/>
                <w:bCs/>
                <w:kern w:val="0"/>
                <w:sz w:val="24"/>
                <w:szCs w:val="24"/>
              </w:rPr>
            </w:pPr>
            <w:r>
              <w:rPr>
                <w:rFonts w:ascii="宋体" w:hAnsi="宋体" w:eastAsia="宋体" w:cs="Times New Roman"/>
                <w:bCs/>
                <w:kern w:val="0"/>
                <w:sz w:val="24"/>
                <w:szCs w:val="24"/>
              </w:rPr>
              <w:t>3</w:t>
            </w:r>
            <w:r>
              <w:rPr>
                <w:rFonts w:hint="eastAsia" w:ascii="宋体" w:hAnsi="宋体" w:eastAsia="宋体" w:cs="Times New Roman"/>
                <w:bCs/>
                <w:kern w:val="0"/>
                <w:sz w:val="24"/>
                <w:szCs w:val="24"/>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ascii="宋体" w:hAnsi="宋体" w:eastAsia="宋体" w:cs="Times New Roman"/>
                <w:bCs/>
                <w:kern w:val="0"/>
                <w:sz w:val="24"/>
                <w:szCs w:val="24"/>
              </w:rPr>
            </w:pP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保温隔热工程</w:t>
            </w:r>
          </w:p>
        </w:tc>
        <w:tc>
          <w:tcPr>
            <w:tcW w:w="850" w:type="dxa"/>
            <w:vAlign w:val="center"/>
          </w:tcPr>
          <w:p>
            <w:pPr>
              <w:jc w:val="center"/>
              <w:rPr>
                <w:rFonts w:ascii="宋体" w:hAnsi="宋体" w:eastAsia="宋体" w:cs="Times New Roman"/>
                <w:bCs/>
                <w:kern w:val="0"/>
                <w:sz w:val="24"/>
                <w:szCs w:val="24"/>
              </w:rPr>
            </w:pPr>
            <w:r>
              <w:rPr>
                <w:rFonts w:ascii="宋体" w:hAnsi="宋体" w:eastAsia="宋体" w:cs="Times New Roman"/>
                <w:bCs/>
                <w:kern w:val="0"/>
                <w:sz w:val="24"/>
                <w:szCs w:val="24"/>
              </w:rPr>
              <w:t>5</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689" w:type="dxa"/>
            <w:gridSpan w:val="2"/>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附加险</w:t>
            </w:r>
          </w:p>
        </w:tc>
        <w:tc>
          <w:tcPr>
            <w:tcW w:w="85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2年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1、电气管线、给排水管道、设备安装工程；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2、供热与供冷系统工程；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3、门、窗工程；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4、墙面、顶棚抹灰层工程；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5、装修工程；</w:t>
            </w:r>
            <w:r>
              <w:rPr>
                <w:rFonts w:ascii="宋体" w:hAnsi="宋体" w:eastAsia="宋体" w:cs="Times New Roman"/>
                <w:bCs/>
                <w:kern w:val="0"/>
                <w:sz w:val="24"/>
                <w:szCs w:val="24"/>
              </w:rPr>
              <w:t xml:space="preserve"> </w:t>
            </w:r>
          </w:p>
        </w:tc>
      </w:tr>
    </w:tbl>
    <w:p>
      <w:pPr>
        <w:rPr>
          <w:rFonts w:ascii="宋体" w:hAnsi="宋体"/>
        </w:rPr>
      </w:pPr>
    </w:p>
    <w:p>
      <w:pPr>
        <w:widowControl/>
        <w:jc w:val="left"/>
        <w:rPr>
          <w:rFonts w:ascii="宋体" w:hAnsi="宋体"/>
        </w:rPr>
      </w:pPr>
      <w:r>
        <w:rPr>
          <w:rFonts w:ascii="宋体" w:hAnsi="宋体"/>
        </w:rPr>
        <w:br w:type="page"/>
      </w:r>
    </w:p>
    <w:p>
      <w:pPr>
        <w:pStyle w:val="3"/>
        <w:rPr>
          <w:rFonts w:ascii="宋体" w:hAnsi="宋体"/>
        </w:rPr>
      </w:pPr>
      <w:bookmarkStart w:id="14" w:name="_Toc58848573"/>
      <w:r>
        <w:rPr>
          <w:rFonts w:hint="eastAsia" w:ascii="宋体" w:hAnsi="宋体"/>
        </w:rPr>
        <w:t>3</w:t>
      </w:r>
      <w:r>
        <w:rPr>
          <w:rFonts w:ascii="宋体" w:hAnsi="宋体"/>
        </w:rPr>
        <w:t xml:space="preserve">.3  </w:t>
      </w:r>
      <w:r>
        <w:rPr>
          <w:rFonts w:hint="eastAsia" w:ascii="宋体" w:hAnsi="宋体"/>
        </w:rPr>
        <w:t>工作依据</w:t>
      </w:r>
      <w:bookmarkEnd w:id="14"/>
    </w:p>
    <w:p>
      <w:pPr>
        <w:rPr>
          <w:rFonts w:ascii="宋体" w:hAnsi="宋体" w:eastAsia="宋体"/>
          <w:bCs/>
          <w:sz w:val="28"/>
          <w:szCs w:val="28"/>
        </w:rPr>
      </w:pPr>
      <w:r>
        <w:rPr>
          <w:rFonts w:ascii="宋体" w:hAnsi="宋体" w:eastAsia="宋体"/>
          <w:b/>
          <w:bCs/>
          <w:sz w:val="28"/>
          <w:szCs w:val="28"/>
        </w:rPr>
        <w:t xml:space="preserve">3.3.1  </w:t>
      </w:r>
      <w:r>
        <w:rPr>
          <w:rFonts w:hint="eastAsia" w:ascii="宋体" w:hAnsi="宋体" w:eastAsia="宋体"/>
          <w:bCs/>
          <w:sz w:val="28"/>
          <w:szCs w:val="28"/>
        </w:rPr>
        <w:t>建筑工程质量潜在缺陷保险的风险管理按项目进程可分为勘察设计阶段、施工阶段、缺陷责任期三个阶段。</w:t>
      </w:r>
    </w:p>
    <w:p>
      <w:pPr>
        <w:rPr>
          <w:rFonts w:ascii="宋体" w:hAnsi="宋体" w:eastAsia="宋体"/>
          <w:bCs/>
          <w:sz w:val="28"/>
          <w:szCs w:val="28"/>
        </w:rPr>
      </w:pPr>
      <w:r>
        <w:rPr>
          <w:rFonts w:ascii="宋体" w:hAnsi="宋体" w:eastAsia="宋体"/>
          <w:b/>
          <w:bCs/>
          <w:sz w:val="28"/>
          <w:szCs w:val="28"/>
        </w:rPr>
        <w:t xml:space="preserve">3.3.2  </w:t>
      </w:r>
      <w:r>
        <w:rPr>
          <w:rFonts w:hint="eastAsia" w:ascii="宋体" w:hAnsi="宋体" w:eastAsia="宋体"/>
          <w:bCs/>
          <w:sz w:val="28"/>
          <w:szCs w:val="28"/>
        </w:rPr>
        <w:t>勘察设计阶段风险管理需要的文件资料包括但不限于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建设、勘察、设计单位的资质、营业执照、质量管理体系等；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初步设计文件审查意见。</w:t>
      </w:r>
    </w:p>
    <w:p>
      <w:pPr>
        <w:ind w:left="630" w:leftChars="300"/>
        <w:rPr>
          <w:rFonts w:ascii="宋体" w:hAnsi="宋体" w:eastAsia="宋体"/>
          <w:bCs/>
          <w:sz w:val="28"/>
          <w:szCs w:val="28"/>
        </w:rPr>
      </w:pPr>
      <w:r>
        <w:rPr>
          <w:rFonts w:ascii="宋体" w:hAnsi="宋体" w:eastAsia="宋体"/>
          <w:b/>
          <w:bCs/>
          <w:sz w:val="28"/>
          <w:szCs w:val="28"/>
        </w:rPr>
        <w:t>3</w:t>
      </w:r>
      <w:r>
        <w:rPr>
          <w:rFonts w:ascii="宋体" w:hAnsi="宋体" w:eastAsia="宋体"/>
          <w:bCs/>
          <w:sz w:val="28"/>
          <w:szCs w:val="28"/>
        </w:rPr>
        <w:t xml:space="preserve">  岩土工程勘察报告（</w:t>
      </w:r>
      <w:r>
        <w:rPr>
          <w:rFonts w:hint="eastAsia" w:ascii="宋体" w:hAnsi="宋体" w:eastAsia="宋体"/>
          <w:bCs/>
          <w:sz w:val="28"/>
          <w:szCs w:val="28"/>
        </w:rPr>
        <w:t>必要时应含水文分析报告</w:t>
      </w:r>
      <w:r>
        <w:rPr>
          <w:rFonts w:ascii="宋体" w:hAnsi="宋体" w:eastAsia="宋体"/>
          <w:bCs/>
          <w:sz w:val="28"/>
          <w:szCs w:val="28"/>
        </w:rPr>
        <w:t>）</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施工图设计图纸文件</w:t>
      </w:r>
      <w:r>
        <w:rPr>
          <w:rFonts w:hint="eastAsia" w:ascii="宋体" w:hAnsi="宋体" w:eastAsia="宋体" w:cs="Arial"/>
          <w:bCs/>
          <w:sz w:val="28"/>
          <w:szCs w:val="28"/>
        </w:rPr>
        <w:t>和专项深化设计文件；</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w:t>
      </w:r>
      <w:r>
        <w:rPr>
          <w:rFonts w:hint="eastAsia" w:ascii="宋体" w:hAnsi="宋体" w:eastAsia="宋体"/>
          <w:bCs/>
          <w:sz w:val="28"/>
          <w:szCs w:val="28"/>
        </w:rPr>
        <w:t>各专业设计计算书；</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设计交底文件</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设计变更图纸或文件</w:t>
      </w:r>
      <w:r>
        <w:rPr>
          <w:rFonts w:hint="eastAsia" w:ascii="宋体" w:hAnsi="宋体" w:eastAsia="宋体"/>
          <w:bCs/>
          <w:sz w:val="28"/>
          <w:szCs w:val="28"/>
        </w:rPr>
        <w:t>。</w:t>
      </w:r>
    </w:p>
    <w:p>
      <w:pPr>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.3.3  </w:t>
      </w:r>
      <w:r>
        <w:rPr>
          <w:rFonts w:hint="eastAsia" w:ascii="宋体" w:hAnsi="宋体" w:eastAsia="宋体"/>
          <w:sz w:val="28"/>
          <w:szCs w:val="28"/>
        </w:rPr>
        <w:t>技术风险管理机构在合同约定范围内对岩土工程勘察和施工图设计文件的审查包括以下内容：</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是否符合工程建设强制性标准；</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2</w:t>
      </w:r>
      <w:r>
        <w:rPr>
          <w:rFonts w:ascii="宋体" w:hAnsi="宋体" w:eastAsia="宋体" w:cs="Arial"/>
          <w:bCs/>
          <w:sz w:val="28"/>
          <w:szCs w:val="28"/>
        </w:rPr>
        <w:t xml:space="preserve">  地基基础和主体结构的安全性；</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3</w:t>
      </w:r>
      <w:r>
        <w:rPr>
          <w:rFonts w:ascii="宋体" w:hAnsi="宋体" w:eastAsia="宋体" w:cs="Arial"/>
          <w:bCs/>
          <w:sz w:val="28"/>
          <w:szCs w:val="28"/>
        </w:rPr>
        <w:t xml:space="preserve">  消防安全性；</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4</w:t>
      </w:r>
      <w:r>
        <w:rPr>
          <w:rFonts w:ascii="宋体" w:hAnsi="宋体" w:eastAsia="宋体" w:cs="Arial"/>
          <w:bCs/>
          <w:sz w:val="28"/>
          <w:szCs w:val="28"/>
        </w:rPr>
        <w:t xml:space="preserve">  人防工程（不含人防指挥工程）防护安全性；</w:t>
      </w:r>
    </w:p>
    <w:p>
      <w:pPr>
        <w:tabs>
          <w:tab w:val="left" w:pos="220"/>
          <w:tab w:val="left" w:pos="720"/>
        </w:tabs>
        <w:autoSpaceDE w:val="0"/>
        <w:autoSpaceDN w:val="0"/>
        <w:adjustRightInd w:val="0"/>
        <w:ind w:left="569" w:leftChars="271"/>
        <w:contextualSpacing/>
        <w:rPr>
          <w:rFonts w:ascii="宋体" w:hAnsi="宋体" w:eastAsia="宋体"/>
          <w:b/>
          <w:bCs/>
          <w:sz w:val="28"/>
          <w:szCs w:val="28"/>
        </w:rPr>
      </w:pPr>
      <w:r>
        <w:rPr>
          <w:rFonts w:hint="eastAsia" w:ascii="宋体" w:hAnsi="宋体" w:eastAsia="宋体" w:cs="Arial"/>
          <w:b/>
          <w:bCs/>
          <w:sz w:val="28"/>
          <w:szCs w:val="28"/>
        </w:rPr>
        <w:t>5</w:t>
      </w:r>
      <w:r>
        <w:rPr>
          <w:rFonts w:ascii="宋体" w:hAnsi="宋体" w:eastAsia="宋体" w:cs="Arial"/>
          <w:bCs/>
          <w:sz w:val="28"/>
          <w:szCs w:val="28"/>
        </w:rPr>
        <w:t xml:space="preserve">  是否符合民用建筑节能强制性标准，对执行绿色建筑标准的项目，还应当审查是否符合绿色建筑标准</w:t>
      </w:r>
      <w:r>
        <w:rPr>
          <w:rFonts w:hint="eastAsia" w:ascii="宋体" w:hAnsi="宋体" w:eastAsia="宋体" w:cs="Arial"/>
          <w:bCs/>
          <w:sz w:val="28"/>
          <w:szCs w:val="28"/>
        </w:rPr>
        <w:t>。</w:t>
      </w:r>
    </w:p>
    <w:p>
      <w:pPr>
        <w:rPr>
          <w:rFonts w:ascii="宋体" w:hAnsi="宋体" w:eastAsia="宋体"/>
          <w:b/>
          <w:bCs/>
          <w:sz w:val="28"/>
          <w:szCs w:val="28"/>
        </w:rPr>
      </w:pPr>
    </w:p>
    <w:p>
      <w:pPr>
        <w:rPr>
          <w:rFonts w:ascii="宋体" w:hAnsi="宋体" w:eastAsia="宋体"/>
          <w:b/>
          <w:bCs/>
          <w:sz w:val="28"/>
          <w:szCs w:val="28"/>
        </w:rPr>
      </w:pPr>
    </w:p>
    <w:p>
      <w:pPr>
        <w:rPr>
          <w:rFonts w:ascii="宋体" w:hAnsi="宋体" w:eastAsia="宋体"/>
          <w:bCs/>
          <w:sz w:val="28"/>
          <w:szCs w:val="28"/>
        </w:rPr>
      </w:pPr>
      <w:r>
        <w:rPr>
          <w:rFonts w:ascii="宋体" w:hAnsi="宋体" w:eastAsia="宋体"/>
          <w:b/>
          <w:bCs/>
          <w:sz w:val="28"/>
          <w:szCs w:val="28"/>
        </w:rPr>
        <w:t xml:space="preserve">3.3.4  </w:t>
      </w:r>
      <w:r>
        <w:rPr>
          <w:rFonts w:hint="eastAsia" w:ascii="宋体" w:hAnsi="宋体" w:eastAsia="宋体"/>
          <w:bCs/>
          <w:sz w:val="28"/>
          <w:szCs w:val="28"/>
        </w:rPr>
        <w:t>施工阶段风险管理需要的文件资料包括但不限于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施工、监理、材料供应、构配件生产企业的资质、营业执照、质量管理体系等；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施工组织设计</w:t>
      </w:r>
      <w:r>
        <w:rPr>
          <w:rFonts w:ascii="宋体" w:hAnsi="宋体" w:eastAsia="宋体"/>
          <w:bCs/>
          <w:sz w:val="28"/>
          <w:szCs w:val="28"/>
        </w:rPr>
        <w:t>（</w:t>
      </w:r>
      <w:r>
        <w:rPr>
          <w:rFonts w:hint="eastAsia" w:ascii="宋体" w:hAnsi="宋体" w:eastAsia="宋体"/>
          <w:bCs/>
          <w:sz w:val="28"/>
          <w:szCs w:val="28"/>
        </w:rPr>
        <w:t>含施工专项方案</w:t>
      </w:r>
      <w:r>
        <w:rPr>
          <w:rFonts w:ascii="宋体" w:hAnsi="宋体" w:eastAsia="宋体"/>
          <w:bCs/>
          <w:sz w:val="28"/>
          <w:szCs w:val="28"/>
        </w:rPr>
        <w:t>）</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施工进度计划；</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w:t>
      </w:r>
      <w:r>
        <w:rPr>
          <w:rFonts w:hint="eastAsia" w:ascii="宋体" w:hAnsi="宋体" w:eastAsia="宋体"/>
          <w:bCs/>
          <w:sz w:val="28"/>
          <w:szCs w:val="28"/>
        </w:rPr>
        <w:t>施工记录文件；</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w:t>
      </w:r>
      <w:r>
        <w:rPr>
          <w:rFonts w:hint="eastAsia" w:ascii="宋体" w:hAnsi="宋体" w:eastAsia="宋体"/>
          <w:bCs/>
          <w:sz w:val="28"/>
          <w:szCs w:val="28"/>
        </w:rPr>
        <w:t>施工质量验收资料；</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试验、检测、监测资料；</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w:t>
      </w:r>
      <w:r>
        <w:rPr>
          <w:rFonts w:hint="eastAsia" w:ascii="宋体" w:hAnsi="宋体" w:eastAsia="宋体"/>
          <w:bCs/>
          <w:sz w:val="28"/>
          <w:szCs w:val="28"/>
        </w:rPr>
        <w:t>监理资料；</w:t>
      </w:r>
    </w:p>
    <w:p>
      <w:pPr>
        <w:ind w:left="630" w:leftChars="300"/>
        <w:rPr>
          <w:rFonts w:ascii="宋体" w:hAnsi="宋体" w:eastAsia="宋体"/>
          <w:bCs/>
          <w:sz w:val="28"/>
          <w:szCs w:val="28"/>
        </w:rPr>
      </w:pPr>
      <w:r>
        <w:rPr>
          <w:rFonts w:ascii="宋体" w:hAnsi="宋体" w:eastAsia="宋体"/>
          <w:b/>
          <w:bCs/>
          <w:sz w:val="28"/>
          <w:szCs w:val="28"/>
        </w:rPr>
        <w:t>8</w:t>
      </w:r>
      <w:r>
        <w:rPr>
          <w:rFonts w:ascii="宋体" w:hAnsi="宋体" w:eastAsia="宋体"/>
          <w:bCs/>
          <w:sz w:val="28"/>
          <w:szCs w:val="28"/>
        </w:rPr>
        <w:t xml:space="preserve">  </w:t>
      </w:r>
      <w:r>
        <w:rPr>
          <w:rFonts w:hint="eastAsia" w:ascii="宋体" w:hAnsi="宋体" w:eastAsia="宋体"/>
          <w:bCs/>
          <w:sz w:val="28"/>
          <w:szCs w:val="28"/>
        </w:rPr>
        <w:t>工程造价文件；</w:t>
      </w:r>
    </w:p>
    <w:p>
      <w:pPr>
        <w:ind w:left="630" w:leftChars="300"/>
        <w:rPr>
          <w:rFonts w:ascii="宋体" w:hAnsi="宋体" w:eastAsia="宋体"/>
          <w:bCs/>
          <w:sz w:val="28"/>
          <w:szCs w:val="28"/>
        </w:rPr>
      </w:pPr>
      <w:r>
        <w:rPr>
          <w:rFonts w:ascii="宋体" w:hAnsi="宋体" w:eastAsia="宋体"/>
          <w:b/>
          <w:bCs/>
          <w:sz w:val="28"/>
          <w:szCs w:val="28"/>
        </w:rPr>
        <w:t xml:space="preserve">9  </w:t>
      </w:r>
      <w:r>
        <w:rPr>
          <w:rFonts w:hint="eastAsia" w:ascii="宋体" w:hAnsi="宋体" w:eastAsia="宋体"/>
          <w:bCs/>
          <w:sz w:val="28"/>
          <w:szCs w:val="28"/>
        </w:rPr>
        <w:t>其他施工过程中的设计变更、工程联系单等。</w:t>
      </w:r>
    </w:p>
    <w:p>
      <w:pPr>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.3.5  </w:t>
      </w:r>
      <w:r>
        <w:rPr>
          <w:rFonts w:hint="eastAsia" w:ascii="宋体" w:hAnsi="宋体" w:eastAsia="宋体"/>
          <w:sz w:val="28"/>
          <w:szCs w:val="28"/>
        </w:rPr>
        <w:t>技术风险管理机构在合同约定范围内对施工阶段的质量控制包括以下内容：</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审查施工单位施工组织设计</w:t>
      </w:r>
      <w:r>
        <w:rPr>
          <w:rFonts w:hint="eastAsia" w:ascii="宋体" w:hAnsi="宋体" w:eastAsia="宋体" w:cs="Arial"/>
          <w:bCs/>
          <w:sz w:val="28"/>
          <w:szCs w:val="28"/>
        </w:rPr>
        <w:t>、</w:t>
      </w:r>
      <w:r>
        <w:rPr>
          <w:rFonts w:ascii="宋体" w:hAnsi="宋体" w:eastAsia="宋体" w:cs="Arial"/>
          <w:bCs/>
          <w:sz w:val="28"/>
          <w:szCs w:val="28"/>
        </w:rPr>
        <w:t>施工方案及工程质量保证措施</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2</w:t>
      </w:r>
      <w:r>
        <w:rPr>
          <w:rFonts w:ascii="宋体" w:hAnsi="宋体" w:eastAsia="宋体" w:cs="Arial"/>
          <w:bCs/>
          <w:sz w:val="28"/>
          <w:szCs w:val="28"/>
        </w:rPr>
        <w:t xml:space="preserve">  审查施工单位定期提交影响工程质量的计量设备的检查和检定报告</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3</w:t>
      </w:r>
      <w:r>
        <w:rPr>
          <w:rFonts w:ascii="宋体" w:hAnsi="宋体" w:eastAsia="宋体" w:cs="Arial"/>
          <w:bCs/>
          <w:sz w:val="28"/>
          <w:szCs w:val="28"/>
        </w:rPr>
        <w:t xml:space="preserve">  审查施工单位报送的新材料、新工艺、新技术、新设备的质量认证材料和相关验收标准的适用性</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4</w:t>
      </w:r>
      <w:r>
        <w:rPr>
          <w:rFonts w:ascii="宋体" w:hAnsi="宋体" w:eastAsia="宋体" w:cs="Arial"/>
          <w:bCs/>
          <w:sz w:val="28"/>
          <w:szCs w:val="28"/>
        </w:rPr>
        <w:t xml:space="preserve">  审查施工单位报送的用于工程的材料、构配件、设备的质量证明文件</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5</w:t>
      </w:r>
      <w:r>
        <w:rPr>
          <w:rFonts w:ascii="宋体" w:hAnsi="宋体" w:eastAsia="宋体" w:cs="Arial"/>
          <w:bCs/>
          <w:sz w:val="28"/>
          <w:szCs w:val="28"/>
        </w:rPr>
        <w:t xml:space="preserve">  </w:t>
      </w:r>
      <w:r>
        <w:rPr>
          <w:rFonts w:hint="eastAsia" w:ascii="宋体" w:hAnsi="宋体" w:eastAsia="宋体" w:cs="Arial"/>
          <w:bCs/>
          <w:sz w:val="28"/>
          <w:szCs w:val="28"/>
        </w:rPr>
        <w:t>检查</w:t>
      </w:r>
      <w:r>
        <w:rPr>
          <w:rFonts w:ascii="宋体" w:hAnsi="宋体" w:eastAsia="宋体" w:cs="Arial"/>
          <w:bCs/>
          <w:sz w:val="28"/>
          <w:szCs w:val="28"/>
        </w:rPr>
        <w:t>是否按工程设计文件、工程建设标准和批准的施工组织设计、（专项）施工方案施工</w:t>
      </w:r>
      <w:r>
        <w:rPr>
          <w:rFonts w:hint="eastAsia" w:ascii="宋体" w:hAnsi="宋体" w:eastAsia="宋体" w:cs="Arial"/>
          <w:bCs/>
          <w:sz w:val="28"/>
          <w:szCs w:val="28"/>
        </w:rPr>
        <w:t>、</w:t>
      </w:r>
      <w:r>
        <w:rPr>
          <w:rFonts w:ascii="宋体" w:hAnsi="宋体" w:eastAsia="宋体" w:cs="Arial"/>
          <w:bCs/>
          <w:sz w:val="28"/>
          <w:szCs w:val="28"/>
        </w:rPr>
        <w:t>施工控制测量成果及保护措施</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6</w:t>
      </w:r>
      <w:r>
        <w:rPr>
          <w:rFonts w:ascii="宋体" w:hAnsi="宋体" w:eastAsia="宋体" w:cs="Arial"/>
          <w:bCs/>
          <w:sz w:val="28"/>
          <w:szCs w:val="28"/>
        </w:rPr>
        <w:t xml:space="preserve">  </w:t>
      </w:r>
      <w:r>
        <w:rPr>
          <w:rFonts w:hint="eastAsia" w:ascii="宋体" w:hAnsi="宋体" w:eastAsia="宋体" w:cs="Arial"/>
          <w:bCs/>
          <w:sz w:val="28"/>
          <w:szCs w:val="28"/>
        </w:rPr>
        <w:t>对</w:t>
      </w:r>
      <w:r>
        <w:rPr>
          <w:rFonts w:ascii="宋体" w:hAnsi="宋体" w:eastAsia="宋体" w:cs="Arial"/>
          <w:bCs/>
          <w:sz w:val="28"/>
          <w:szCs w:val="28"/>
        </w:rPr>
        <w:t>关键部位、关键工序进行</w:t>
      </w:r>
      <w:r>
        <w:rPr>
          <w:rFonts w:hint="eastAsia" w:ascii="宋体" w:hAnsi="宋体" w:eastAsia="宋体" w:cs="Arial"/>
          <w:bCs/>
          <w:sz w:val="28"/>
          <w:szCs w:val="28"/>
        </w:rPr>
        <w:t>旁站检查；参加</w:t>
      </w:r>
      <w:r>
        <w:rPr>
          <w:rFonts w:ascii="宋体" w:hAnsi="宋体" w:eastAsia="宋体" w:cs="Arial"/>
          <w:bCs/>
          <w:sz w:val="28"/>
          <w:szCs w:val="28"/>
        </w:rPr>
        <w:t>隐蔽工程、检验批、分项工程和分部工程</w:t>
      </w:r>
      <w:r>
        <w:rPr>
          <w:rFonts w:hint="eastAsia" w:ascii="宋体" w:hAnsi="宋体" w:eastAsia="宋体" w:cs="Arial"/>
          <w:bCs/>
          <w:sz w:val="28"/>
          <w:szCs w:val="28"/>
        </w:rPr>
        <w:t>的</w:t>
      </w:r>
      <w:r>
        <w:rPr>
          <w:rFonts w:ascii="宋体" w:hAnsi="宋体" w:eastAsia="宋体" w:cs="Arial"/>
          <w:bCs/>
          <w:sz w:val="28"/>
          <w:szCs w:val="28"/>
        </w:rPr>
        <w:t>验收</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7</w:t>
      </w:r>
      <w:r>
        <w:rPr>
          <w:rFonts w:ascii="宋体" w:hAnsi="宋体" w:eastAsia="宋体" w:cs="Arial"/>
          <w:bCs/>
          <w:sz w:val="28"/>
          <w:szCs w:val="28"/>
        </w:rPr>
        <w:t xml:space="preserve">  </w:t>
      </w:r>
      <w:r>
        <w:rPr>
          <w:rFonts w:hint="eastAsia" w:ascii="宋体" w:hAnsi="宋体" w:eastAsia="宋体" w:cs="Arial"/>
          <w:bCs/>
          <w:sz w:val="28"/>
          <w:szCs w:val="28"/>
        </w:rPr>
        <w:t>对</w:t>
      </w:r>
      <w:r>
        <w:rPr>
          <w:rFonts w:ascii="宋体" w:hAnsi="宋体" w:eastAsia="宋体" w:cs="Arial"/>
          <w:bCs/>
          <w:sz w:val="28"/>
          <w:szCs w:val="28"/>
        </w:rPr>
        <w:t>质量缺陷</w:t>
      </w:r>
      <w:r>
        <w:rPr>
          <w:rFonts w:hint="eastAsia" w:ascii="宋体" w:hAnsi="宋体" w:eastAsia="宋体" w:cs="Arial"/>
          <w:bCs/>
          <w:sz w:val="28"/>
          <w:szCs w:val="28"/>
        </w:rPr>
        <w:t>、</w:t>
      </w:r>
      <w:r>
        <w:rPr>
          <w:rFonts w:ascii="宋体" w:hAnsi="宋体" w:eastAsia="宋体" w:cs="Arial"/>
          <w:bCs/>
          <w:sz w:val="28"/>
          <w:szCs w:val="28"/>
        </w:rPr>
        <w:t>质量事故的处理过程进行跟踪检查</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
          <w:bCs/>
          <w:sz w:val="28"/>
          <w:szCs w:val="28"/>
        </w:rPr>
      </w:pPr>
      <w:r>
        <w:rPr>
          <w:rFonts w:ascii="宋体" w:hAnsi="宋体" w:eastAsia="宋体" w:cs="Arial"/>
          <w:b/>
          <w:bCs/>
          <w:sz w:val="28"/>
          <w:szCs w:val="28"/>
        </w:rPr>
        <w:t xml:space="preserve">8  </w:t>
      </w:r>
      <w:r>
        <w:rPr>
          <w:rFonts w:ascii="宋体" w:hAnsi="宋体" w:eastAsia="宋体" w:cs="Arial"/>
          <w:bCs/>
          <w:sz w:val="28"/>
          <w:szCs w:val="28"/>
        </w:rPr>
        <w:t>参加由建设单位组织的竣工验收</w:t>
      </w:r>
      <w:r>
        <w:rPr>
          <w:rFonts w:hint="eastAsia" w:ascii="宋体" w:hAnsi="宋体" w:eastAsia="宋体" w:cs="Arial"/>
          <w:bCs/>
          <w:sz w:val="28"/>
          <w:szCs w:val="28"/>
        </w:rPr>
        <w:t>。</w:t>
      </w:r>
    </w:p>
    <w:p>
      <w:pPr>
        <w:rPr>
          <w:rFonts w:ascii="宋体" w:hAnsi="宋体" w:eastAsia="宋体"/>
          <w:bCs/>
          <w:sz w:val="28"/>
          <w:szCs w:val="28"/>
        </w:rPr>
      </w:pPr>
      <w:r>
        <w:rPr>
          <w:rFonts w:ascii="宋体" w:hAnsi="宋体" w:eastAsia="宋体"/>
          <w:b/>
          <w:bCs/>
          <w:sz w:val="28"/>
          <w:szCs w:val="28"/>
        </w:rPr>
        <w:t>3.3.6</w:t>
      </w:r>
      <w:r>
        <w:rPr>
          <w:rFonts w:ascii="宋体" w:hAnsi="宋体" w:eastAsia="宋体"/>
          <w:bCs/>
          <w:sz w:val="28"/>
          <w:szCs w:val="28"/>
        </w:rPr>
        <w:t xml:space="preserve">  </w:t>
      </w:r>
      <w:r>
        <w:rPr>
          <w:rFonts w:hint="eastAsia" w:ascii="宋体" w:hAnsi="宋体" w:eastAsia="宋体" w:cs="Times New Roman"/>
          <w:sz w:val="28"/>
          <w:szCs w:val="28"/>
        </w:rPr>
        <w:t>缺陷责任期的</w:t>
      </w:r>
      <w:r>
        <w:rPr>
          <w:rFonts w:hint="eastAsia" w:ascii="宋体" w:hAnsi="宋体" w:eastAsia="宋体"/>
          <w:bCs/>
          <w:sz w:val="28"/>
          <w:szCs w:val="28"/>
        </w:rPr>
        <w:t>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物业管理单位的资质、营业执照、质量管理体系等；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保险公司和建设单位发放的保险须知和使用维护资料；</w:t>
      </w:r>
    </w:p>
    <w:p>
      <w:pPr>
        <w:ind w:left="630" w:leftChars="300"/>
        <w:rPr>
          <w:rFonts w:ascii="宋体" w:hAnsi="宋体" w:eastAsia="宋体" w:cs="Arial"/>
          <w:bCs/>
          <w:sz w:val="28"/>
          <w:szCs w:val="28"/>
        </w:rPr>
      </w:pPr>
      <w:r>
        <w:rPr>
          <w:rFonts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物业维修记录和质量投诉记录。</w:t>
      </w:r>
    </w:p>
    <w:p>
      <w:pPr>
        <w:rPr>
          <w:rFonts w:ascii="宋体" w:hAnsi="宋体" w:eastAsia="宋体"/>
          <w:sz w:val="28"/>
          <w:szCs w:val="28"/>
        </w:rPr>
      </w:pPr>
      <w:r>
        <w:rPr>
          <w:rFonts w:ascii="宋体" w:hAnsi="宋体" w:eastAsia="宋体"/>
          <w:b/>
          <w:sz w:val="28"/>
          <w:szCs w:val="28"/>
        </w:rPr>
        <w:t xml:space="preserve">3.3.7  </w:t>
      </w:r>
      <w:r>
        <w:rPr>
          <w:rFonts w:hint="eastAsia" w:ascii="宋体" w:hAnsi="宋体" w:eastAsia="宋体"/>
          <w:sz w:val="28"/>
          <w:szCs w:val="28"/>
        </w:rPr>
        <w:t>风险管理依据包括但不局限于以下内容:</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w:t>
      </w:r>
      <w:r>
        <w:rPr>
          <w:rFonts w:hint="eastAsia" w:ascii="宋体" w:hAnsi="宋体" w:eastAsia="宋体" w:cs="Arial"/>
          <w:bCs/>
          <w:sz w:val="28"/>
          <w:szCs w:val="28"/>
        </w:rPr>
        <w:t xml:space="preserve"> 国家和地方现行法律法规和建设标准；</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2</w:t>
      </w:r>
      <w:r>
        <w:rPr>
          <w:rFonts w:ascii="宋体" w:hAnsi="宋体" w:eastAsia="宋体" w:cs="Arial"/>
          <w:bCs/>
          <w:sz w:val="28"/>
          <w:szCs w:val="28"/>
        </w:rPr>
        <w:t xml:space="preserve"> </w:t>
      </w:r>
      <w:r>
        <w:rPr>
          <w:rFonts w:hint="eastAsia" w:ascii="宋体" w:hAnsi="宋体" w:eastAsia="宋体" w:cs="Arial"/>
          <w:bCs/>
          <w:sz w:val="28"/>
          <w:szCs w:val="28"/>
        </w:rPr>
        <w:t xml:space="preserve"> 风险统计数据分析结果；</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3</w:t>
      </w:r>
      <w:r>
        <w:rPr>
          <w:rFonts w:ascii="宋体" w:hAnsi="宋体" w:eastAsia="宋体" w:cs="Arial"/>
          <w:bCs/>
          <w:sz w:val="28"/>
          <w:szCs w:val="28"/>
        </w:rPr>
        <w:t xml:space="preserve"> </w:t>
      </w:r>
      <w:r>
        <w:rPr>
          <w:rFonts w:hint="eastAsia" w:ascii="宋体" w:hAnsi="宋体" w:eastAsia="宋体" w:cs="Arial"/>
          <w:bCs/>
          <w:sz w:val="28"/>
          <w:szCs w:val="28"/>
        </w:rPr>
        <w:t xml:space="preserve"> 特定的技术试验研究报告；</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4</w:t>
      </w:r>
      <w:r>
        <w:rPr>
          <w:rFonts w:ascii="宋体" w:hAnsi="宋体" w:eastAsia="宋体" w:cs="Arial"/>
          <w:bCs/>
          <w:sz w:val="28"/>
          <w:szCs w:val="28"/>
        </w:rPr>
        <w:t xml:space="preserve"> </w:t>
      </w:r>
      <w:r>
        <w:rPr>
          <w:rFonts w:hint="eastAsia" w:ascii="宋体" w:hAnsi="宋体" w:eastAsia="宋体" w:cs="Arial"/>
          <w:bCs/>
          <w:sz w:val="28"/>
          <w:szCs w:val="28"/>
        </w:rPr>
        <w:t xml:space="preserve"> 专业技术理论分析。</w:t>
      </w:r>
    </w:p>
    <w:p>
      <w:pPr>
        <w:widowControl/>
        <w:jc w:val="left"/>
        <w:rPr>
          <w:rFonts w:ascii="宋体" w:hAnsi="宋体" w:eastAsia="宋体" w:cs="Arial"/>
          <w:b/>
          <w:bCs/>
          <w:sz w:val="28"/>
          <w:szCs w:val="28"/>
        </w:rPr>
      </w:pPr>
      <w:r>
        <w:rPr>
          <w:rFonts w:ascii="宋体" w:hAnsi="宋体" w:eastAsia="宋体" w:cs="Arial"/>
          <w:b/>
          <w:bCs/>
          <w:sz w:val="28"/>
          <w:szCs w:val="28"/>
        </w:rPr>
        <w:br w:type="page"/>
      </w:r>
    </w:p>
    <w:p>
      <w:pPr>
        <w:pStyle w:val="2"/>
      </w:pPr>
      <w:bookmarkStart w:id="15" w:name="_Toc58848574"/>
      <w:r>
        <w:t xml:space="preserve">4  </w:t>
      </w:r>
      <w:r>
        <w:rPr>
          <w:rFonts w:hint="eastAsia"/>
        </w:rPr>
        <w:t>风险评估</w:t>
      </w:r>
      <w:bookmarkEnd w:id="15"/>
    </w:p>
    <w:p>
      <w:pPr>
        <w:pStyle w:val="3"/>
        <w:rPr>
          <w:rFonts w:ascii="宋体" w:hAnsi="宋体"/>
        </w:rPr>
      </w:pPr>
      <w:bookmarkStart w:id="16" w:name="_Toc17656849"/>
      <w:bookmarkStart w:id="17" w:name="_Toc58848575"/>
      <w:r>
        <w:rPr>
          <w:rFonts w:hint="eastAsia" w:ascii="宋体" w:hAnsi="宋体"/>
        </w:rPr>
        <w:t>4</w:t>
      </w:r>
      <w:r>
        <w:rPr>
          <w:rFonts w:ascii="宋体" w:hAnsi="宋体"/>
        </w:rPr>
        <w:t xml:space="preserve">.1  </w:t>
      </w:r>
      <w:r>
        <w:rPr>
          <w:rFonts w:hint="eastAsia" w:ascii="宋体" w:hAnsi="宋体"/>
        </w:rPr>
        <w:t>风险评价</w:t>
      </w:r>
      <w:bookmarkEnd w:id="16"/>
      <w:bookmarkEnd w:id="17"/>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.1.1  </w:t>
      </w:r>
      <w:r>
        <w:rPr>
          <w:rFonts w:hint="eastAsia" w:ascii="宋体" w:hAnsi="宋体" w:eastAsia="宋体"/>
          <w:bCs/>
          <w:sz w:val="28"/>
          <w:szCs w:val="28"/>
        </w:rPr>
        <w:t>风险评价可采用定量评价方法和定性评价方法或两者结合的方法。</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.1.2  </w:t>
      </w:r>
      <w:r>
        <w:rPr>
          <w:rFonts w:hint="eastAsia" w:ascii="宋体" w:hAnsi="宋体" w:eastAsia="宋体"/>
          <w:bCs/>
          <w:sz w:val="28"/>
          <w:szCs w:val="28"/>
        </w:rPr>
        <w:t>定量评价方法</w:t>
      </w:r>
      <w:r>
        <w:rPr>
          <w:rFonts w:ascii="宋体" w:hAnsi="宋体" w:eastAsia="宋体"/>
          <w:bCs/>
          <w:sz w:val="28"/>
          <w:szCs w:val="28"/>
        </w:rPr>
        <w:t>是采用数学的方法，收集和处理数据资料,从客观量化角度对评价对象做出定量结果的价值判断</w:t>
      </w:r>
      <w:r>
        <w:rPr>
          <w:rFonts w:hint="eastAsia" w:ascii="宋体" w:hAnsi="宋体" w:eastAsia="宋体"/>
          <w:bCs/>
          <w:sz w:val="28"/>
          <w:szCs w:val="28"/>
        </w:rPr>
        <w:t>。</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 xml:space="preserve">.1.3  </w:t>
      </w:r>
      <w:r>
        <w:rPr>
          <w:rFonts w:hint="eastAsia" w:ascii="宋体" w:hAnsi="宋体" w:eastAsia="宋体"/>
          <w:sz w:val="28"/>
          <w:szCs w:val="28"/>
        </w:rPr>
        <w:t>定性评价方法</w:t>
      </w:r>
      <w:r>
        <w:rPr>
          <w:rFonts w:ascii="宋体" w:hAnsi="宋体" w:eastAsia="宋体"/>
          <w:sz w:val="28"/>
          <w:szCs w:val="28"/>
        </w:rPr>
        <w:t>是</w:t>
      </w:r>
      <w:r>
        <w:rPr>
          <w:rFonts w:hint="eastAsia" w:ascii="宋体" w:hAnsi="宋体" w:eastAsia="宋体"/>
          <w:sz w:val="28"/>
          <w:szCs w:val="28"/>
        </w:rPr>
        <w:t>利用技术分析手段，参考专业技术人员经验和风险案例的统计，对风险的严重性进行评价。</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.1.4  </w:t>
      </w:r>
      <w:r>
        <w:rPr>
          <w:rFonts w:hint="eastAsia" w:ascii="宋体" w:hAnsi="宋体" w:eastAsia="宋体"/>
          <w:bCs/>
          <w:sz w:val="28"/>
          <w:szCs w:val="28"/>
        </w:rPr>
        <w:t>风险发生概率等级标准按可能性和风险发生概率表示：</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.1.4  </w:t>
      </w:r>
      <w:r>
        <w:rPr>
          <w:rFonts w:hint="eastAsia" w:ascii="宋体" w:hAnsi="宋体" w:eastAsia="宋体"/>
          <w:sz w:val="28"/>
          <w:szCs w:val="28"/>
        </w:rPr>
        <w:t>风险发生概率等级标准</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1417"/>
        <w:gridCol w:w="1985"/>
        <w:gridCol w:w="1559"/>
        <w:gridCol w:w="1559"/>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等级</w:t>
            </w:r>
          </w:p>
        </w:tc>
        <w:tc>
          <w:tcPr>
            <w:tcW w:w="1417"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1985"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1559"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1559"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30"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可能性</w:t>
            </w:r>
          </w:p>
        </w:tc>
        <w:tc>
          <w:tcPr>
            <w:tcW w:w="1417"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几乎不可能</w:t>
            </w:r>
          </w:p>
        </w:tc>
        <w:tc>
          <w:tcPr>
            <w:tcW w:w="1985"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很少</w:t>
            </w:r>
          </w:p>
        </w:tc>
        <w:tc>
          <w:tcPr>
            <w:tcW w:w="1559"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偶尔</w:t>
            </w:r>
          </w:p>
        </w:tc>
        <w:tc>
          <w:tcPr>
            <w:tcW w:w="1559"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可能</w:t>
            </w:r>
          </w:p>
        </w:tc>
        <w:tc>
          <w:tcPr>
            <w:tcW w:w="93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频繁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概率</w:t>
            </w:r>
          </w:p>
        </w:tc>
        <w:tc>
          <w:tcPr>
            <w:tcW w:w="1417"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0.01</w:t>
            </w:r>
            <w:r>
              <w:rPr>
                <w:rFonts w:hint="eastAsia" w:ascii="宋体" w:hAnsi="宋体" w:eastAsia="宋体" w:cs="Times New Roman"/>
                <w:kern w:val="0"/>
                <w:sz w:val="24"/>
                <w:szCs w:val="24"/>
              </w:rPr>
              <w:t>%</w:t>
            </w:r>
          </w:p>
        </w:tc>
        <w:tc>
          <w:tcPr>
            <w:tcW w:w="198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0.01%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0.1</w:t>
            </w:r>
            <w:r>
              <w:rPr>
                <w:rFonts w:hint="eastAsia" w:ascii="宋体" w:hAnsi="宋体" w:eastAsia="宋体" w:cs="Times New Roman"/>
                <w:kern w:val="0"/>
                <w:sz w:val="24"/>
                <w:szCs w:val="24"/>
              </w:rPr>
              <w:t>%</w:t>
            </w:r>
          </w:p>
        </w:tc>
        <w:tc>
          <w:tcPr>
            <w:tcW w:w="1559"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0.1%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1</w:t>
            </w:r>
            <w:r>
              <w:rPr>
                <w:rFonts w:hint="eastAsia" w:ascii="宋体" w:hAnsi="宋体" w:eastAsia="宋体" w:cs="Times New Roman"/>
                <w:kern w:val="0"/>
                <w:sz w:val="24"/>
                <w:szCs w:val="24"/>
              </w:rPr>
              <w:t>%</w:t>
            </w:r>
          </w:p>
        </w:tc>
        <w:tc>
          <w:tcPr>
            <w:tcW w:w="1559"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10</w:t>
            </w:r>
            <w:r>
              <w:rPr>
                <w:rFonts w:hint="eastAsia" w:ascii="宋体" w:hAnsi="宋体" w:eastAsia="宋体" w:cs="Times New Roman"/>
                <w:kern w:val="0"/>
                <w:sz w:val="24"/>
                <w:szCs w:val="24"/>
              </w:rPr>
              <w:t>%</w:t>
            </w:r>
          </w:p>
        </w:tc>
        <w:tc>
          <w:tcPr>
            <w:tcW w:w="930" w:type="dxa"/>
            <w:vAlign w:val="center"/>
          </w:tcPr>
          <w:p>
            <w:pPr>
              <w:jc w:val="center"/>
              <w:rPr>
                <w:rFonts w:ascii="宋体" w:hAnsi="宋体" w:eastAsia="宋体" w:cs="Times New Roman"/>
                <w:kern w:val="0"/>
                <w:sz w:val="24"/>
                <w:szCs w:val="24"/>
              </w:rPr>
            </w:pPr>
            <w:bookmarkStart w:id="18" w:name="_Hlk16863811"/>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bookmarkEnd w:id="18"/>
            <w:r>
              <w:rPr>
                <w:rFonts w:hint="eastAsia" w:ascii="宋体" w:hAnsi="宋体" w:eastAsia="宋体" w:cs="Times New Roman"/>
                <w:kern w:val="0"/>
                <w:sz w:val="24"/>
                <w:szCs w:val="24"/>
              </w:rPr>
              <w:t>≥</w:t>
            </w:r>
            <w:r>
              <w:rPr>
                <w:rFonts w:ascii="宋体" w:hAnsi="宋体" w:eastAsia="宋体" w:cs="Times New Roman"/>
                <w:kern w:val="0"/>
                <w:sz w:val="24"/>
                <w:szCs w:val="24"/>
              </w:rPr>
              <w:t>10%</w:t>
            </w:r>
          </w:p>
        </w:tc>
      </w:tr>
    </w:tbl>
    <w:p>
      <w:pPr>
        <w:rPr>
          <w:rFonts w:ascii="宋体" w:hAnsi="宋体" w:eastAsia="宋体"/>
          <w:b/>
          <w:sz w:val="28"/>
          <w:szCs w:val="28"/>
        </w:rPr>
      </w:pPr>
      <w:r>
        <w:rPr>
          <w:rFonts w:hint="eastAsia" w:ascii="宋体" w:hAnsi="宋体" w:eastAsia="宋体" w:cs="Times New Roman"/>
          <w:bCs/>
          <w:kern w:val="0"/>
          <w:sz w:val="24"/>
          <w:szCs w:val="24"/>
        </w:rPr>
        <w:t>注：</w:t>
      </w:r>
      <w:r>
        <w:rPr>
          <w:rFonts w:hint="eastAsia" w:ascii="宋体" w:hAnsi="宋体" w:eastAsia="宋体"/>
          <w:sz w:val="24"/>
          <w:szCs w:val="24"/>
        </w:rPr>
        <w:t>P</w:t>
      </w:r>
      <w:r>
        <w:rPr>
          <w:rFonts w:ascii="宋体" w:hAnsi="宋体" w:eastAsia="宋体"/>
          <w:bCs/>
          <w:sz w:val="24"/>
          <w:szCs w:val="24"/>
          <w:vertAlign w:val="subscript"/>
        </w:rPr>
        <w:t>f</w:t>
      </w:r>
      <w:r>
        <w:rPr>
          <w:rFonts w:hint="eastAsia" w:ascii="宋体" w:hAnsi="宋体" w:eastAsia="宋体" w:cs="Times New Roman"/>
          <w:bCs/>
          <w:kern w:val="0"/>
          <w:sz w:val="24"/>
          <w:szCs w:val="24"/>
        </w:rPr>
        <w:t>为失效概率。</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.1.5  </w:t>
      </w:r>
      <w:r>
        <w:rPr>
          <w:rFonts w:hint="eastAsia" w:ascii="宋体" w:hAnsi="宋体" w:eastAsia="宋体"/>
          <w:bCs/>
          <w:sz w:val="28"/>
          <w:szCs w:val="28"/>
        </w:rPr>
        <w:t>风险发生物质损失等级标准按损失严重性和损失大小表示：</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.1.5  </w:t>
      </w:r>
      <w:r>
        <w:rPr>
          <w:rFonts w:hint="eastAsia" w:ascii="宋体" w:hAnsi="宋体" w:eastAsia="宋体"/>
          <w:sz w:val="28"/>
          <w:szCs w:val="28"/>
        </w:rPr>
        <w:t>风险发生物质损失等级标准</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6"/>
        <w:gridCol w:w="1418"/>
        <w:gridCol w:w="1276"/>
        <w:gridCol w:w="1275"/>
        <w:gridCol w:w="1418"/>
        <w:gridCol w:w="12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等级</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a</w:t>
            </w:r>
          </w:p>
        </w:tc>
        <w:tc>
          <w:tcPr>
            <w:tcW w:w="1276"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b</w:t>
            </w:r>
          </w:p>
        </w:tc>
        <w:tc>
          <w:tcPr>
            <w:tcW w:w="127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c</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d</w:t>
            </w:r>
          </w:p>
        </w:tc>
        <w:tc>
          <w:tcPr>
            <w:tcW w:w="1213"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严重性</w:t>
            </w:r>
          </w:p>
        </w:tc>
        <w:tc>
          <w:tcPr>
            <w:tcW w:w="1418"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极其轻微</w:t>
            </w:r>
          </w:p>
        </w:tc>
        <w:tc>
          <w:tcPr>
            <w:tcW w:w="1276"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轻微</w:t>
            </w:r>
          </w:p>
        </w:tc>
        <w:tc>
          <w:tcPr>
            <w:tcW w:w="1275"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较大</w:t>
            </w:r>
          </w:p>
        </w:tc>
        <w:tc>
          <w:tcPr>
            <w:tcW w:w="1418"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严重</w:t>
            </w:r>
          </w:p>
        </w:tc>
        <w:tc>
          <w:tcPr>
            <w:tcW w:w="1213"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极其严重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损失额（万元）</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10</w:t>
            </w:r>
          </w:p>
        </w:tc>
        <w:tc>
          <w:tcPr>
            <w:tcW w:w="1276"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w:t>
            </w:r>
          </w:p>
        </w:tc>
        <w:tc>
          <w:tcPr>
            <w:tcW w:w="127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100</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500</w:t>
            </w:r>
          </w:p>
        </w:tc>
        <w:tc>
          <w:tcPr>
            <w:tcW w:w="1213"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500</w:t>
            </w:r>
          </w:p>
        </w:tc>
      </w:tr>
    </w:tbl>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.1.6  </w:t>
      </w:r>
      <w:r>
        <w:rPr>
          <w:rFonts w:hint="eastAsia" w:ascii="宋体" w:hAnsi="宋体" w:eastAsia="宋体"/>
          <w:bCs/>
          <w:sz w:val="28"/>
          <w:szCs w:val="28"/>
        </w:rPr>
        <w:t>根据风险发生概率等级和物质损失等级，采用矩阵法进行风险点的风险等级评定。</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.1.6  </w:t>
      </w:r>
      <w:r>
        <w:rPr>
          <w:rFonts w:hint="eastAsia" w:ascii="宋体" w:hAnsi="宋体" w:eastAsia="宋体"/>
          <w:b/>
          <w:sz w:val="28"/>
          <w:szCs w:val="28"/>
        </w:rPr>
        <w:t>风险等级评定表</w:t>
      </w:r>
    </w:p>
    <w:tbl>
      <w:tblPr>
        <w:tblStyle w:val="24"/>
        <w:tblW w:w="76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1275"/>
        <w:gridCol w:w="1276"/>
        <w:gridCol w:w="1276"/>
        <w:gridCol w:w="1276"/>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pPr>
              <w:jc w:val="center"/>
              <w:rPr>
                <w:rFonts w:ascii="宋体" w:hAnsi="宋体" w:eastAsia="宋体" w:cs="Times New Roman"/>
                <w:b/>
                <w:kern w:val="0"/>
                <w:sz w:val="24"/>
                <w:szCs w:val="24"/>
              </w:rPr>
            </w:pPr>
            <w:r>
              <w:rPr>
                <w:rFonts w:hint="eastAsia" w:ascii="宋体" w:hAnsi="宋体" w:eastAsia="宋体" w:cs="Times New Roman"/>
                <w:bCs/>
                <w:kern w:val="0"/>
                <w:sz w:val="24"/>
                <w:szCs w:val="24"/>
              </w:rPr>
              <w:t>风险发生概率等级</w:t>
            </w:r>
          </w:p>
        </w:tc>
        <w:tc>
          <w:tcPr>
            <w:tcW w:w="6379" w:type="dxa"/>
            <w:gridSpan w:val="5"/>
            <w:vAlign w:val="center"/>
          </w:tcPr>
          <w:p>
            <w:pPr>
              <w:jc w:val="center"/>
              <w:rPr>
                <w:rFonts w:ascii="宋体" w:hAnsi="宋体" w:eastAsia="宋体" w:cs="Times New Roman"/>
                <w:b/>
                <w:kern w:val="0"/>
                <w:sz w:val="24"/>
                <w:szCs w:val="24"/>
              </w:rPr>
            </w:pPr>
            <w:r>
              <w:rPr>
                <w:rFonts w:hint="eastAsia" w:ascii="宋体" w:hAnsi="宋体" w:eastAsia="宋体" w:cs="Times New Roman"/>
                <w:bCs/>
                <w:kern w:val="0"/>
                <w:sz w:val="24"/>
                <w:szCs w:val="24"/>
              </w:rPr>
              <w:t>物质损失等级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pPr>
              <w:jc w:val="center"/>
              <w:rPr>
                <w:rFonts w:ascii="宋体" w:hAnsi="宋体" w:eastAsia="宋体" w:cs="Times New Roman"/>
                <w:b/>
                <w:kern w:val="0"/>
                <w:sz w:val="24"/>
                <w:szCs w:val="24"/>
              </w:rPr>
            </w:pPr>
          </w:p>
        </w:tc>
        <w:tc>
          <w:tcPr>
            <w:tcW w:w="1275" w:type="dxa"/>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a</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b</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c</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d</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1</w:t>
            </w:r>
          </w:p>
        </w:tc>
        <w:tc>
          <w:tcPr>
            <w:tcW w:w="1275"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2</w:t>
            </w:r>
          </w:p>
        </w:tc>
        <w:tc>
          <w:tcPr>
            <w:tcW w:w="1275"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3</w:t>
            </w:r>
          </w:p>
        </w:tc>
        <w:tc>
          <w:tcPr>
            <w:tcW w:w="1275"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4</w:t>
            </w:r>
          </w:p>
        </w:tc>
        <w:tc>
          <w:tcPr>
            <w:tcW w:w="1275"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5</w:t>
            </w:r>
          </w:p>
        </w:tc>
        <w:tc>
          <w:tcPr>
            <w:tcW w:w="1275"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bl>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.1.7  </w:t>
      </w:r>
      <w:r>
        <w:rPr>
          <w:rFonts w:hint="eastAsia" w:ascii="宋体" w:hAnsi="宋体" w:eastAsia="宋体"/>
          <w:bCs/>
          <w:sz w:val="28"/>
          <w:szCs w:val="28"/>
        </w:rPr>
        <w:t>工程质量潜在缺陷风险等级根据上述评定表的规定，可以分为四个等级，并将因缺少资料无法进行风险评估的情况定为技术风险保留，用R（</w:t>
      </w:r>
      <w:r>
        <w:rPr>
          <w:rFonts w:ascii="宋体" w:hAnsi="宋体" w:eastAsia="宋体"/>
          <w:bCs/>
          <w:sz w:val="28"/>
          <w:szCs w:val="28"/>
        </w:rPr>
        <w:t>Reservation</w:t>
      </w:r>
      <w:r>
        <w:rPr>
          <w:rFonts w:hint="eastAsia" w:ascii="宋体" w:hAnsi="宋体" w:eastAsia="宋体"/>
          <w:bCs/>
          <w:sz w:val="28"/>
          <w:szCs w:val="28"/>
        </w:rPr>
        <w:t>）标记。</w:t>
      </w:r>
      <w:r>
        <w:rPr>
          <w:rFonts w:ascii="宋体" w:hAnsi="宋体" w:eastAsia="宋体"/>
          <w:bCs/>
          <w:sz w:val="28"/>
          <w:szCs w:val="28"/>
        </w:rPr>
        <w:t xml:space="preserve"> </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.1.7  </w:t>
      </w:r>
      <w:r>
        <w:rPr>
          <w:rFonts w:hint="eastAsia" w:ascii="宋体" w:hAnsi="宋体" w:eastAsia="宋体"/>
          <w:b/>
          <w:sz w:val="28"/>
          <w:szCs w:val="28"/>
        </w:rPr>
        <w:t>风险等级释义及可接受准则</w:t>
      </w:r>
    </w:p>
    <w:tbl>
      <w:tblPr>
        <w:tblStyle w:val="24"/>
        <w:tblW w:w="8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0" w:type="dxa"/>
        </w:tblCellMar>
      </w:tblPr>
      <w:tblGrid>
        <w:gridCol w:w="622"/>
        <w:gridCol w:w="1641"/>
        <w:gridCol w:w="3544"/>
        <w:gridCol w:w="2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8" w:hRule="atLeast"/>
          <w:jc w:val="center"/>
        </w:trPr>
        <w:tc>
          <w:tcPr>
            <w:tcW w:w="226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风险等级</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风险类型描述</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风险可接受准则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正常技术风险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风险发生的概率极低，出险造成的损失极其轻微。</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风险在可接受范围内。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轻微技术风险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风险发生的概率较低，出险造成的损失轻微。</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条件许可下风险一般在可接受范围内。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一般技术风险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风险发生的概率和出险造成的损失较大。</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风险不可接受。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风险发生的概率和出险造成的损失严重。可能造成严重的财产损失或产生恶劣的社会影响。</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风险完全不可接受。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R</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技术风险保留</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在风险管理过程中由于未能查见相关的资料以评价质量缺陷风险是否在可接受范围内，需提供更进一步的资料来评价其风险等级。</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需待进一步验证</w:t>
            </w:r>
          </w:p>
        </w:tc>
      </w:tr>
    </w:tbl>
    <w:p>
      <w:pPr>
        <w:widowControl/>
        <w:jc w:val="left"/>
        <w:rPr>
          <w:rFonts w:ascii="宋体" w:hAnsi="宋体" w:eastAsia="宋体" w:cs="Arial"/>
          <w:b/>
          <w:bCs/>
          <w:sz w:val="28"/>
          <w:szCs w:val="28"/>
        </w:rPr>
      </w:pPr>
      <w:r>
        <w:rPr>
          <w:rFonts w:ascii="宋体" w:hAnsi="宋体" w:cs="Arial"/>
          <w:szCs w:val="28"/>
        </w:rPr>
        <w:br w:type="page"/>
      </w:r>
    </w:p>
    <w:p>
      <w:pPr>
        <w:pStyle w:val="3"/>
        <w:rPr>
          <w:rFonts w:ascii="宋体" w:hAnsi="宋体"/>
        </w:rPr>
      </w:pPr>
      <w:bookmarkStart w:id="19" w:name="_Toc58848576"/>
      <w:r>
        <w:rPr>
          <w:rFonts w:hint="eastAsia" w:ascii="宋体" w:hAnsi="宋体"/>
        </w:rPr>
        <w:t>4</w:t>
      </w:r>
      <w:r>
        <w:rPr>
          <w:rFonts w:ascii="宋体" w:hAnsi="宋体"/>
        </w:rPr>
        <w:t xml:space="preserve">.2  </w:t>
      </w:r>
      <w:r>
        <w:rPr>
          <w:rFonts w:hint="eastAsia" w:ascii="宋体" w:hAnsi="宋体"/>
        </w:rPr>
        <w:t>风险控制</w:t>
      </w:r>
      <w:bookmarkEnd w:id="19"/>
    </w:p>
    <w:p>
      <w:pPr>
        <w:rPr>
          <w:rFonts w:ascii="宋体" w:hAnsi="宋体" w:eastAsia="宋体" w:cs="Times New Roman"/>
          <w:sz w:val="28"/>
          <w:szCs w:val="28"/>
        </w:rPr>
      </w:pPr>
      <w:r>
        <w:rPr>
          <w:rFonts w:hint="eastAsia" w:ascii="宋体" w:hAnsi="宋体" w:eastAsia="宋体"/>
          <w:b/>
          <w:sz w:val="28"/>
          <w:szCs w:val="28"/>
        </w:rPr>
        <w:t>4</w:t>
      </w:r>
      <w:r>
        <w:rPr>
          <w:rFonts w:ascii="宋体" w:hAnsi="宋体" w:eastAsia="宋体"/>
          <w:b/>
          <w:sz w:val="28"/>
          <w:szCs w:val="28"/>
        </w:rPr>
        <w:t xml:space="preserve">.2.1  </w:t>
      </w:r>
      <w:r>
        <w:rPr>
          <w:rFonts w:hint="eastAsia" w:ascii="宋体" w:hAnsi="宋体" w:eastAsia="宋体" w:cs="Times New Roman"/>
          <w:sz w:val="28"/>
          <w:szCs w:val="28"/>
        </w:rPr>
        <w:t>技术风险管理机构应坚持“公平合理、预防为主”的原则，根据风险评估结果提出经济、可行、主动的风险控制的合理建议，由相关责任单位决定所采取的具体措施。</w:t>
      </w:r>
    </w:p>
    <w:p>
      <w:pPr>
        <w:jc w:val="center"/>
        <w:rPr>
          <w:rFonts w:ascii="宋体" w:hAnsi="宋体" w:eastAsia="宋体"/>
          <w:bCs/>
          <w:sz w:val="28"/>
          <w:szCs w:val="28"/>
        </w:rPr>
      </w:pPr>
      <w:r>
        <w:rPr>
          <w:rFonts w:hint="eastAsia" w:ascii="宋体" w:hAnsi="宋体" w:eastAsia="宋体"/>
          <w:b/>
          <w:sz w:val="28"/>
          <w:szCs w:val="28"/>
        </w:rPr>
        <w:t>表4</w:t>
      </w:r>
      <w:r>
        <w:rPr>
          <w:rFonts w:ascii="宋体" w:hAnsi="宋体" w:eastAsia="宋体"/>
          <w:b/>
          <w:sz w:val="28"/>
          <w:szCs w:val="28"/>
        </w:rPr>
        <w:t xml:space="preserve">.2.1  </w:t>
      </w:r>
      <w:r>
        <w:rPr>
          <w:rFonts w:hint="eastAsia" w:ascii="宋体" w:hAnsi="宋体" w:eastAsia="宋体"/>
          <w:b/>
          <w:sz w:val="28"/>
          <w:szCs w:val="28"/>
        </w:rPr>
        <w:t>风险应对</w:t>
      </w:r>
    </w:p>
    <w:tbl>
      <w:tblPr>
        <w:tblStyle w:val="24"/>
        <w:tblW w:w="8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0" w:type="dxa"/>
        </w:tblCellMar>
      </w:tblPr>
      <w:tblGrid>
        <w:gridCol w:w="822"/>
        <w:gridCol w:w="1867"/>
        <w:gridCol w:w="5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8" w:hRule="atLeast"/>
          <w:jc w:val="center"/>
        </w:trPr>
        <w:tc>
          <w:tcPr>
            <w:tcW w:w="268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风险等级</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风险应对措施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正常技术风险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sz w:val="24"/>
                <w:szCs w:val="24"/>
              </w:rPr>
              <w:t>此类风险在正常范围内，相关责任方应保持当前状态避免风险扩大，也可通过协调、沟通或简单的处理措施进一步降低风险水平。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轻微技术风险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rPr>
                <w:rFonts w:ascii="宋体" w:hAnsi="宋体" w:eastAsia="宋体" w:cs="Times New Roman"/>
                <w:kern w:val="0"/>
                <w:sz w:val="24"/>
                <w:szCs w:val="24"/>
              </w:rPr>
            </w:pPr>
            <w:r>
              <w:rPr>
                <w:rFonts w:hint="eastAsia" w:ascii="宋体" w:hAnsi="宋体" w:eastAsia="宋体" w:cs="Times New Roman"/>
                <w:kern w:val="0"/>
                <w:sz w:val="24"/>
                <w:szCs w:val="24"/>
              </w:rPr>
              <w:t>相关责任方应组织技术人员研讨，确定规避风险应采取的合理措施。技术风险管理机构应保持关注，确保风险水平不会提高。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一般技术风险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相关责任方应立即组织技术人员研讨，并采取整改措施规避风险。</w:t>
            </w:r>
          </w:p>
          <w:p>
            <w:pPr>
              <w:spacing w:line="276" w:lineRule="auto"/>
              <w:jc w:val="left"/>
              <w:rPr>
                <w:rFonts w:ascii="宋体" w:hAnsi="宋体" w:eastAsia="宋体" w:cs="Times New Roman"/>
                <w:kern w:val="0"/>
                <w:sz w:val="24"/>
                <w:szCs w:val="24"/>
              </w:rPr>
            </w:pPr>
            <w:r>
              <w:rPr>
                <w:rFonts w:hint="eastAsia" w:ascii="宋体" w:hAnsi="宋体" w:eastAsia="宋体" w:cs="Times New Roman"/>
                <w:kern w:val="0"/>
                <w:sz w:val="24"/>
                <w:szCs w:val="24"/>
              </w:rPr>
              <w:t>技术风险管理机构应配合相关责任方确认合理的整改措施，并对整改过程的衍生风险进行评估。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相关责任方原则上应立即采取整改措施，防止风险扩大或产生难以挽回的经济损失。</w:t>
            </w:r>
          </w:p>
          <w:p>
            <w:pPr>
              <w:tabs>
                <w:tab w:val="left" w:pos="0"/>
                <w:tab w:val="left" w:pos="735"/>
              </w:tabs>
              <w:spacing w:line="276" w:lineRule="auto"/>
              <w:rPr>
                <w:rFonts w:ascii="宋体" w:hAnsi="宋体" w:eastAsia="宋体" w:cs="Times New Roman"/>
                <w:kern w:val="0"/>
                <w:sz w:val="24"/>
                <w:szCs w:val="24"/>
              </w:rPr>
            </w:pPr>
            <w:r>
              <w:rPr>
                <w:rFonts w:hint="eastAsia" w:ascii="宋体" w:hAnsi="宋体" w:eastAsia="宋体" w:cs="Times New Roman"/>
                <w:kern w:val="0"/>
                <w:sz w:val="24"/>
                <w:szCs w:val="24"/>
              </w:rPr>
              <w:t>技术风险管理机构应配合相关责任方确认合理的整改措施，并对整改过程的衍生风险进行评估。</w:t>
            </w:r>
          </w:p>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若不能及时采取有效措施降低风险水平，可建议保险除外。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R</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技术风险保留</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相关责任方有责任及时提供相关的资料，必要时作出资料缺失或延迟的陈述。</w:t>
            </w:r>
          </w:p>
        </w:tc>
      </w:tr>
    </w:tbl>
    <w:p>
      <w:pPr>
        <w:rPr>
          <w:rFonts w:ascii="宋体" w:hAnsi="宋体" w:eastAsia="宋体" w:cs="Times New Roman"/>
          <w:kern w:val="0"/>
          <w:sz w:val="24"/>
          <w:szCs w:val="24"/>
        </w:rPr>
      </w:pPr>
      <w:r>
        <w:rPr>
          <w:rFonts w:hint="eastAsia" w:ascii="宋体" w:hAnsi="宋体" w:eastAsia="宋体"/>
          <w:b/>
          <w:sz w:val="28"/>
          <w:szCs w:val="28"/>
        </w:rPr>
        <w:t>4</w:t>
      </w:r>
      <w:r>
        <w:rPr>
          <w:rFonts w:ascii="宋体" w:hAnsi="宋体" w:eastAsia="宋体"/>
          <w:b/>
          <w:sz w:val="28"/>
          <w:szCs w:val="28"/>
        </w:rPr>
        <w:t xml:space="preserve">.2.2  </w:t>
      </w:r>
      <w:r>
        <w:rPr>
          <w:rFonts w:hint="eastAsia" w:ascii="宋体" w:hAnsi="宋体" w:eastAsia="宋体" w:cs="Times New Roman"/>
          <w:sz w:val="28"/>
          <w:szCs w:val="28"/>
        </w:rPr>
        <w:t>对于严重技术风险，技术风险管理机构应及时告知保险公司、建设单位和参建企业，保险公司、建设单位和参建企业应积极响应，并立即采取整改措施。</w:t>
      </w:r>
    </w:p>
    <w:p>
      <w:pPr>
        <w:rPr>
          <w:rFonts w:ascii="宋体" w:hAnsi="宋体" w:eastAsia="宋体" w:cs="Times New Roman"/>
          <w:sz w:val="28"/>
          <w:szCs w:val="28"/>
        </w:rPr>
      </w:pPr>
      <w:r>
        <w:rPr>
          <w:rFonts w:ascii="宋体" w:hAnsi="宋体" w:eastAsia="宋体"/>
          <w:b/>
          <w:sz w:val="28"/>
          <w:szCs w:val="28"/>
        </w:rPr>
        <w:t xml:space="preserve">4.2.3  </w:t>
      </w:r>
      <w:r>
        <w:rPr>
          <w:rFonts w:hint="eastAsia" w:ascii="宋体" w:hAnsi="宋体" w:eastAsia="宋体" w:cs="Times New Roman"/>
          <w:sz w:val="28"/>
          <w:szCs w:val="28"/>
        </w:rPr>
        <w:t>实施风险控制措施后，技术风险管理机构应保持持续的风险跟踪，根据风险接受准则，动态地评估新的风险水平，从而确定是否需要进一步采取措施。</w:t>
      </w:r>
    </w:p>
    <w:p>
      <w:pPr>
        <w:widowControl/>
        <w:jc w:val="left"/>
        <w:rPr>
          <w:rFonts w:ascii="宋体" w:hAnsi="宋体" w:eastAsia="宋体" w:cs="Times New Roman"/>
          <w:sz w:val="28"/>
          <w:szCs w:val="28"/>
        </w:rPr>
      </w:pPr>
      <w:r>
        <w:rPr>
          <w:rFonts w:ascii="宋体" w:hAnsi="宋体" w:eastAsia="宋体" w:cs="Times New Roman"/>
          <w:sz w:val="28"/>
          <w:szCs w:val="28"/>
        </w:rPr>
        <w:br w:type="page"/>
      </w:r>
    </w:p>
    <w:p>
      <w:pPr>
        <w:pStyle w:val="3"/>
        <w:rPr>
          <w:rFonts w:ascii="宋体" w:hAnsi="宋体"/>
        </w:rPr>
      </w:pPr>
      <w:bookmarkStart w:id="20" w:name="_Toc58848577"/>
      <w:r>
        <w:rPr>
          <w:rFonts w:hint="eastAsia" w:ascii="宋体" w:hAnsi="宋体"/>
        </w:rPr>
        <w:t>4</w:t>
      </w:r>
      <w:r>
        <w:rPr>
          <w:rFonts w:ascii="宋体" w:hAnsi="宋体"/>
        </w:rPr>
        <w:t xml:space="preserve">.3  </w:t>
      </w:r>
      <w:r>
        <w:rPr>
          <w:rFonts w:hint="eastAsia" w:ascii="宋体" w:hAnsi="宋体"/>
        </w:rPr>
        <w:t>工作流程</w:t>
      </w:r>
      <w:bookmarkEnd w:id="20"/>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.3.1  </w:t>
      </w:r>
      <w:r>
        <w:rPr>
          <w:rFonts w:hint="eastAsia" w:ascii="宋体" w:hAnsi="宋体" w:eastAsia="宋体"/>
          <w:bCs/>
          <w:sz w:val="28"/>
          <w:szCs w:val="28"/>
        </w:rPr>
        <w:t>风险管理服务合同签订后，保险公司和建设单位应向技术风险管理机构出具《风险管理授权书》，并提供风险管理所需要的相关资料。技术风险管理机构应组织现场踏勘；编制《初步风险识别报告》和《风险管理服务工作计划》；参加保险公司和建设单位组织的所有参建方参与的风险管理交底会。</w:t>
      </w:r>
    </w:p>
    <w:p>
      <w:pPr>
        <w:rPr>
          <w:rFonts w:ascii="宋体" w:hAnsi="宋体" w:eastAsia="宋体"/>
          <w:sz w:val="28"/>
          <w:szCs w:val="28"/>
        </w:rPr>
      </w:pPr>
      <w:r>
        <w:rPr>
          <w:rFonts w:ascii="宋体" w:hAnsi="宋体" w:eastAsia="宋体"/>
          <w:b/>
          <w:sz w:val="28"/>
          <w:szCs w:val="28"/>
        </w:rPr>
        <w:t>4.3.2</w:t>
      </w:r>
      <w:r>
        <w:rPr>
          <w:rFonts w:ascii="宋体" w:hAnsi="宋体" w:eastAsia="宋体"/>
          <w:sz w:val="28"/>
          <w:szCs w:val="28"/>
        </w:rPr>
        <w:t xml:space="preserve">  </w:t>
      </w:r>
      <w:r>
        <w:rPr>
          <w:rFonts w:hint="eastAsia" w:ascii="宋体" w:hAnsi="宋体" w:eastAsia="宋体"/>
          <w:sz w:val="28"/>
          <w:szCs w:val="28"/>
        </w:rPr>
        <w:t>《初步风险识别》的主要风险分析内容应涵盖所有拟承保的保单分项内容；应对</w:t>
      </w:r>
      <w:r>
        <w:rPr>
          <w:rFonts w:ascii="宋体" w:hAnsi="宋体" w:eastAsia="宋体"/>
          <w:bCs/>
          <w:sz w:val="28"/>
          <w:szCs w:val="28"/>
        </w:rPr>
        <w:t>新技术、新材料、新工艺、新设备系统</w:t>
      </w:r>
      <w:r>
        <w:rPr>
          <w:rFonts w:hint="eastAsia" w:ascii="宋体" w:hAnsi="宋体" w:eastAsia="宋体"/>
          <w:bCs/>
          <w:sz w:val="28"/>
          <w:szCs w:val="28"/>
        </w:rPr>
        <w:t>和</w:t>
      </w:r>
      <w:r>
        <w:rPr>
          <w:rFonts w:hint="eastAsia" w:ascii="宋体" w:hAnsi="宋体" w:eastAsia="宋体"/>
          <w:sz w:val="28"/>
          <w:szCs w:val="28"/>
        </w:rPr>
        <w:t>专项工程进行识别，明确项目需要出具的所有风险评估报告；对于项目的已建部分，应对勘察设计资料和施工资料进行风险分析，并补充必要的现场初步检查。</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.3.3  </w:t>
      </w:r>
      <w:r>
        <w:rPr>
          <w:rFonts w:hint="eastAsia" w:ascii="宋体" w:hAnsi="宋体" w:eastAsia="宋体"/>
          <w:bCs/>
          <w:sz w:val="28"/>
          <w:szCs w:val="28"/>
        </w:rPr>
        <w:t>《风险管理服务工作计划》应包括如下内容：</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项目基本信息：项目名称、</w:t>
      </w:r>
      <w:r>
        <w:rPr>
          <w:rFonts w:ascii="宋体" w:hAnsi="宋体" w:eastAsia="宋体"/>
          <w:bCs/>
          <w:sz w:val="28"/>
          <w:szCs w:val="28"/>
        </w:rPr>
        <w:t>地址、建</w:t>
      </w:r>
      <w:r>
        <w:rPr>
          <w:rFonts w:hint="eastAsia" w:ascii="宋体" w:hAnsi="宋体" w:eastAsia="宋体"/>
          <w:bCs/>
          <w:sz w:val="28"/>
          <w:szCs w:val="28"/>
        </w:rPr>
        <w:t>设规模</w:t>
      </w:r>
      <w:r>
        <w:rPr>
          <w:rFonts w:ascii="宋体" w:hAnsi="宋体" w:eastAsia="宋体"/>
          <w:bCs/>
          <w:sz w:val="28"/>
          <w:szCs w:val="28"/>
        </w:rPr>
        <w:t>、结构类型、参建单位</w:t>
      </w:r>
      <w:r>
        <w:rPr>
          <w:rFonts w:hint="eastAsia" w:ascii="宋体" w:hAnsi="宋体" w:eastAsia="宋体"/>
          <w:bCs/>
          <w:sz w:val="28"/>
          <w:szCs w:val="28"/>
        </w:rPr>
        <w:t>、主承保保险公司、保单内容及保险责任、项目进程</w:t>
      </w:r>
      <w:r>
        <w:rPr>
          <w:rFonts w:ascii="宋体" w:hAnsi="宋体" w:eastAsia="宋体"/>
          <w:bCs/>
          <w:sz w:val="28"/>
          <w:szCs w:val="28"/>
        </w:rPr>
        <w:t>等</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2</w:t>
      </w:r>
      <w:r>
        <w:rPr>
          <w:rFonts w:ascii="宋体" w:hAnsi="宋体" w:eastAsia="宋体"/>
          <w:bCs/>
          <w:sz w:val="28"/>
          <w:szCs w:val="28"/>
        </w:rPr>
        <w:t xml:space="preserve">  项目风险管理团队</w:t>
      </w:r>
      <w:r>
        <w:rPr>
          <w:rFonts w:hint="eastAsia" w:ascii="宋体" w:hAnsi="宋体" w:eastAsia="宋体"/>
          <w:bCs/>
          <w:sz w:val="28"/>
          <w:szCs w:val="28"/>
        </w:rPr>
        <w:t>成员信息及需要投入的设施设备等；</w:t>
      </w:r>
    </w:p>
    <w:p>
      <w:pPr>
        <w:ind w:left="630" w:leftChars="300"/>
        <w:rPr>
          <w:rFonts w:ascii="宋体" w:hAnsi="宋体" w:eastAsia="宋体"/>
          <w:bCs/>
          <w:sz w:val="28"/>
          <w:szCs w:val="28"/>
        </w:rPr>
      </w:pPr>
      <w:r>
        <w:rPr>
          <w:rFonts w:hint="eastAsia" w:ascii="宋体" w:hAnsi="宋体" w:eastAsia="宋体"/>
          <w:b/>
          <w:bCs/>
          <w:sz w:val="28"/>
          <w:szCs w:val="28"/>
        </w:rPr>
        <w:t>3</w:t>
      </w:r>
      <w:r>
        <w:rPr>
          <w:rFonts w:ascii="宋体" w:hAnsi="宋体" w:eastAsia="宋体"/>
          <w:bCs/>
          <w:sz w:val="28"/>
          <w:szCs w:val="28"/>
        </w:rPr>
        <w:t xml:space="preserve">  风险管理</w:t>
      </w:r>
      <w:r>
        <w:rPr>
          <w:rFonts w:hint="eastAsia" w:ascii="宋体" w:hAnsi="宋体" w:eastAsia="宋体"/>
          <w:bCs/>
          <w:sz w:val="28"/>
          <w:szCs w:val="28"/>
        </w:rPr>
        <w:t>的服务内容：风险评估范围、过程</w:t>
      </w:r>
      <w:r>
        <w:rPr>
          <w:rFonts w:ascii="宋体" w:hAnsi="宋体" w:eastAsia="宋体"/>
          <w:bCs/>
          <w:sz w:val="28"/>
          <w:szCs w:val="28"/>
        </w:rPr>
        <w:t>检查方法、</w:t>
      </w:r>
      <w:r>
        <w:rPr>
          <w:rFonts w:hint="eastAsia" w:ascii="宋体" w:hAnsi="宋体" w:eastAsia="宋体"/>
          <w:bCs/>
          <w:sz w:val="28"/>
          <w:szCs w:val="28"/>
        </w:rPr>
        <w:t>过程</w:t>
      </w:r>
      <w:r>
        <w:rPr>
          <w:rFonts w:ascii="宋体" w:hAnsi="宋体" w:eastAsia="宋体"/>
          <w:bCs/>
          <w:sz w:val="28"/>
          <w:szCs w:val="28"/>
        </w:rPr>
        <w:t>检查频次安排</w:t>
      </w:r>
      <w:r>
        <w:rPr>
          <w:rFonts w:hint="eastAsia" w:ascii="宋体" w:hAnsi="宋体" w:eastAsia="宋体"/>
          <w:bCs/>
          <w:sz w:val="28"/>
          <w:szCs w:val="28"/>
        </w:rPr>
        <w:t>、沟通协调的组织构架及工作流程等；</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过程中需重点控制的</w:t>
      </w:r>
      <w:r>
        <w:rPr>
          <w:rFonts w:hint="eastAsia" w:ascii="宋体" w:hAnsi="宋体" w:eastAsia="宋体"/>
          <w:bCs/>
          <w:sz w:val="28"/>
          <w:szCs w:val="28"/>
        </w:rPr>
        <w:t>节点、工序、</w:t>
      </w:r>
      <w:r>
        <w:rPr>
          <w:rFonts w:ascii="宋体" w:hAnsi="宋体" w:eastAsia="宋体"/>
          <w:bCs/>
          <w:sz w:val="28"/>
          <w:szCs w:val="28"/>
        </w:rPr>
        <w:t>阶段和部位</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拟出具的报告或形成的成果文件</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需要建设单位及保险公司协调配合的相关事宜。</w:t>
      </w:r>
    </w:p>
    <w:p>
      <w:pPr>
        <w:rPr>
          <w:rFonts w:ascii="宋体" w:hAnsi="宋体" w:eastAsia="宋体"/>
          <w:b/>
          <w:bCs/>
          <w:sz w:val="28"/>
          <w:szCs w:val="28"/>
        </w:rPr>
      </w:pPr>
      <w:r>
        <w:rPr>
          <w:rFonts w:hint="eastAsia" w:ascii="宋体" w:hAnsi="宋体" w:eastAsia="宋体"/>
          <w:b/>
          <w:bCs/>
          <w:sz w:val="28"/>
          <w:szCs w:val="28"/>
        </w:rPr>
        <w:t>4</w:t>
      </w:r>
      <w:r>
        <w:rPr>
          <w:rFonts w:ascii="宋体" w:hAnsi="宋体" w:eastAsia="宋体"/>
          <w:b/>
          <w:bCs/>
          <w:sz w:val="28"/>
          <w:szCs w:val="28"/>
        </w:rPr>
        <w:t xml:space="preserve">.3.4  </w:t>
      </w:r>
      <w:r>
        <w:rPr>
          <w:rFonts w:hint="eastAsia" w:ascii="宋体" w:hAnsi="宋体" w:eastAsia="宋体"/>
          <w:bCs/>
          <w:sz w:val="28"/>
          <w:szCs w:val="28"/>
        </w:rPr>
        <w:t>风险管理交底会上技术风险管理机构应明确以下事项：</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向各方阐明风险管理的目的、依据、方法、工作流程；</w:t>
      </w:r>
    </w:p>
    <w:p>
      <w:pPr>
        <w:ind w:left="630" w:leftChars="300"/>
        <w:rPr>
          <w:rFonts w:ascii="宋体" w:hAnsi="宋体" w:eastAsia="宋体"/>
          <w:bCs/>
          <w:sz w:val="28"/>
          <w:szCs w:val="28"/>
        </w:rPr>
      </w:pPr>
      <w:r>
        <w:rPr>
          <w:rFonts w:hint="eastAsia"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介绍项目基本信息；</w:t>
      </w:r>
    </w:p>
    <w:p>
      <w:pPr>
        <w:ind w:left="630" w:leftChars="300"/>
        <w:rPr>
          <w:rFonts w:ascii="宋体" w:hAnsi="宋体" w:eastAsia="宋体"/>
          <w:bCs/>
          <w:sz w:val="28"/>
          <w:szCs w:val="28"/>
        </w:rPr>
      </w:pPr>
      <w:r>
        <w:rPr>
          <w:rFonts w:hint="eastAsia"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明确风险管理的服务内容；</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w:t>
      </w:r>
      <w:r>
        <w:rPr>
          <w:rFonts w:hint="eastAsia" w:ascii="宋体" w:hAnsi="宋体" w:eastAsia="宋体"/>
          <w:bCs/>
          <w:sz w:val="28"/>
          <w:szCs w:val="28"/>
        </w:rPr>
        <w:t>强调需要建设单位及保险公司协调配合的相关事宜；</w:t>
      </w:r>
    </w:p>
    <w:p>
      <w:pPr>
        <w:ind w:left="630" w:leftChars="300"/>
        <w:rPr>
          <w:rFonts w:ascii="宋体" w:hAnsi="宋体" w:eastAsia="宋体"/>
          <w:bCs/>
          <w:sz w:val="28"/>
          <w:szCs w:val="28"/>
        </w:rPr>
      </w:pPr>
      <w:r>
        <w:rPr>
          <w:rFonts w:ascii="宋体" w:hAnsi="宋体" w:eastAsia="宋体"/>
          <w:b/>
          <w:bCs/>
          <w:sz w:val="28"/>
          <w:szCs w:val="28"/>
        </w:rPr>
        <w:t xml:space="preserve">5  </w:t>
      </w:r>
      <w:r>
        <w:rPr>
          <w:rFonts w:hint="eastAsia" w:ascii="宋体" w:hAnsi="宋体" w:eastAsia="宋体"/>
          <w:bCs/>
          <w:sz w:val="28"/>
          <w:szCs w:val="28"/>
        </w:rPr>
        <w:t>配合参建单位建立风险预警制度，对Ⅲ、Ⅳ级风险进行交底；</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递交《风险管理服务工作计划》；</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w:t>
      </w:r>
      <w:r>
        <w:rPr>
          <w:rFonts w:hint="eastAsia" w:ascii="宋体" w:hAnsi="宋体" w:eastAsia="宋体"/>
          <w:bCs/>
          <w:sz w:val="28"/>
          <w:szCs w:val="28"/>
        </w:rPr>
        <w:t>形成《会议纪要》。</w:t>
      </w:r>
    </w:p>
    <w:p>
      <w:pPr>
        <w:rPr>
          <w:rFonts w:ascii="宋体" w:hAnsi="宋体" w:eastAsia="宋体"/>
          <w:sz w:val="28"/>
          <w:szCs w:val="28"/>
        </w:rPr>
      </w:pPr>
      <w:r>
        <w:rPr>
          <w:rFonts w:ascii="宋体" w:hAnsi="宋体" w:eastAsia="宋体"/>
          <w:b/>
          <w:sz w:val="28"/>
          <w:szCs w:val="28"/>
        </w:rPr>
        <w:t xml:space="preserve">4.3.5  </w:t>
      </w:r>
      <w:r>
        <w:rPr>
          <w:rFonts w:hint="eastAsia" w:ascii="宋体" w:hAnsi="宋体" w:eastAsia="宋体"/>
          <w:sz w:val="28"/>
          <w:szCs w:val="28"/>
        </w:rPr>
        <w:t>过程检查作为风险跟踪和风险预控的重要手段，应贯穿工程实施的全过程，过程检查是工程质量风险管理服务的必要工作，过程检查后应出具《过程检查报告》。</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.3.6  </w:t>
      </w:r>
      <w:r>
        <w:rPr>
          <w:rFonts w:ascii="宋体" w:hAnsi="宋体" w:eastAsia="宋体"/>
          <w:bCs/>
          <w:sz w:val="28"/>
          <w:szCs w:val="28"/>
        </w:rPr>
        <w:t>风险管理</w:t>
      </w:r>
      <w:r>
        <w:rPr>
          <w:rFonts w:hint="eastAsia" w:ascii="宋体" w:hAnsi="宋体" w:eastAsia="宋体"/>
          <w:bCs/>
          <w:sz w:val="28"/>
          <w:szCs w:val="28"/>
        </w:rPr>
        <w:t>总</w:t>
      </w:r>
      <w:r>
        <w:rPr>
          <w:rFonts w:ascii="宋体" w:hAnsi="宋体" w:eastAsia="宋体"/>
          <w:bCs/>
          <w:sz w:val="28"/>
          <w:szCs w:val="28"/>
        </w:rPr>
        <w:t>流程</w:t>
      </w:r>
      <w:r>
        <w:rPr>
          <w:rFonts w:hint="eastAsia" w:ascii="宋体" w:hAnsi="宋体" w:eastAsia="宋体"/>
          <w:bCs/>
          <w:sz w:val="28"/>
          <w:szCs w:val="28"/>
        </w:rPr>
        <w:t>应符合图4</w:t>
      </w:r>
      <w:r>
        <w:rPr>
          <w:rFonts w:ascii="宋体" w:hAnsi="宋体" w:eastAsia="宋体"/>
          <w:bCs/>
          <w:sz w:val="28"/>
          <w:szCs w:val="28"/>
        </w:rPr>
        <w:t>.3.6</w:t>
      </w:r>
      <w:r>
        <w:rPr>
          <w:rFonts w:hint="eastAsia" w:ascii="宋体" w:hAnsi="宋体" w:eastAsia="宋体"/>
          <w:bCs/>
          <w:sz w:val="28"/>
          <w:szCs w:val="28"/>
        </w:rPr>
        <w:t>的要求</w:t>
      </w:r>
      <w:r>
        <w:rPr>
          <w:rFonts w:ascii="宋体" w:hAnsi="宋体" w:eastAsia="宋体"/>
          <w:bCs/>
          <w:sz w:val="28"/>
          <w:szCs w:val="28"/>
        </w:rPr>
        <w:t>：</w:t>
      </w:r>
    </w:p>
    <w:p>
      <w:pPr>
        <w:jc w:val="center"/>
      </w:pPr>
      <w:r>
        <w:object>
          <v:shape id="_x0000_i1025" o:spt="75" type="#_x0000_t75" style="height:226.45pt;width:383.8pt;" o:ole="t" filled="f" o:preferrelative="t" stroked="f" coordsize="21600,21600">
            <v:path/>
            <v:fill on="f" focussize="0,0"/>
            <v:stroke on="f" joinstyle="miter"/>
            <v:imagedata r:id="rId7" o:title=""/>
            <o:lock v:ext="edit" aspectratio="t"/>
            <w10:wrap type="none"/>
            <w10:anchorlock/>
          </v:shape>
          <o:OLEObject Type="Embed" ProgID="" ShapeID="_x0000_i1025" DrawAspect="Content" ObjectID="_1468075725" r:id="rId6">
            <o:LockedField>false</o:LockedField>
          </o:OLEObject>
        </w:object>
      </w:r>
    </w:p>
    <w:p>
      <w:pPr>
        <w:jc w:val="center"/>
        <w:rPr>
          <w:rFonts w:ascii="宋体" w:hAnsi="宋体" w:eastAsia="宋体"/>
          <w:sz w:val="28"/>
          <w:szCs w:val="28"/>
        </w:rPr>
      </w:pPr>
      <w:r>
        <w:rPr>
          <w:rFonts w:hint="eastAsia" w:ascii="宋体" w:hAnsi="宋体" w:eastAsia="宋体"/>
          <w:b/>
          <w:bCs/>
          <w:sz w:val="28"/>
          <w:szCs w:val="28"/>
        </w:rPr>
        <w:t>图4</w:t>
      </w:r>
      <w:r>
        <w:rPr>
          <w:rFonts w:ascii="宋体" w:hAnsi="宋体" w:eastAsia="宋体"/>
          <w:b/>
          <w:bCs/>
          <w:sz w:val="28"/>
          <w:szCs w:val="28"/>
        </w:rPr>
        <w:t>.3.6风险管理</w:t>
      </w:r>
      <w:r>
        <w:rPr>
          <w:rFonts w:hint="eastAsia" w:ascii="宋体" w:hAnsi="宋体" w:eastAsia="宋体"/>
          <w:b/>
          <w:bCs/>
          <w:sz w:val="28"/>
          <w:szCs w:val="28"/>
        </w:rPr>
        <w:t>总</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4.3.7  </w:t>
      </w:r>
      <w:r>
        <w:rPr>
          <w:rFonts w:hint="eastAsia" w:ascii="宋体" w:hAnsi="宋体" w:eastAsia="宋体"/>
          <w:sz w:val="28"/>
          <w:szCs w:val="28"/>
        </w:rPr>
        <w:t>勘察设计阶段的过程检查工作，可按方案设计阶段、初步设计阶段、施工图设计阶段的节点进行。</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.3.8</w:t>
      </w:r>
      <w:r>
        <w:rPr>
          <w:rFonts w:ascii="宋体" w:hAnsi="宋体" w:eastAsia="宋体"/>
          <w:sz w:val="28"/>
          <w:szCs w:val="28"/>
        </w:rPr>
        <w:t xml:space="preserve">  </w:t>
      </w:r>
      <w:r>
        <w:rPr>
          <w:rFonts w:hint="eastAsia" w:ascii="宋体" w:hAnsi="宋体" w:eastAsia="宋体"/>
          <w:sz w:val="28"/>
          <w:szCs w:val="28"/>
        </w:rPr>
        <w:t>对勘察设计阶段的过程检查工作，负责过程检查的技术人员必须提前准备好所有必要的信息和资料以便风险管理工作顺利进行。</w:t>
      </w:r>
    </w:p>
    <w:p>
      <w:pPr>
        <w:ind w:left="630" w:leftChars="300"/>
        <w:rPr>
          <w:rFonts w:ascii="宋体" w:hAnsi="宋体" w:eastAsia="宋体"/>
          <w:sz w:val="28"/>
          <w:szCs w:val="28"/>
        </w:rPr>
      </w:pPr>
      <w:r>
        <w:rPr>
          <w:rFonts w:hint="eastAsia" w:ascii="宋体" w:hAnsi="宋体" w:eastAsia="宋体" w:cs="Times New Roman"/>
          <w:b/>
          <w:sz w:val="28"/>
          <w:szCs w:val="28"/>
        </w:rPr>
        <w:t xml:space="preserve">1 </w:t>
      </w:r>
      <w:r>
        <w:rPr>
          <w:rFonts w:ascii="宋体" w:hAnsi="宋体" w:eastAsia="宋体" w:cs="Times New Roman"/>
          <w:b/>
          <w:sz w:val="28"/>
          <w:szCs w:val="28"/>
        </w:rPr>
        <w:t xml:space="preserve"> </w:t>
      </w:r>
      <w:r>
        <w:rPr>
          <w:rFonts w:hint="eastAsia" w:ascii="宋体" w:hAnsi="宋体" w:eastAsia="宋体"/>
          <w:sz w:val="28"/>
          <w:szCs w:val="28"/>
        </w:rPr>
        <w:t>技术人员需根据之前过程检查中获得的信息，了解勘察设计单位的进度状况，及时收集相关的勘察设计文件；</w:t>
      </w:r>
    </w:p>
    <w:p>
      <w:pPr>
        <w:ind w:left="630" w:leftChars="300"/>
        <w:rPr>
          <w:rFonts w:ascii="宋体" w:hAnsi="宋体" w:eastAsia="宋体" w:cs="Arial"/>
          <w:sz w:val="28"/>
          <w:szCs w:val="28"/>
        </w:rPr>
      </w:pPr>
      <w:r>
        <w:rPr>
          <w:rFonts w:ascii="宋体" w:hAnsi="宋体" w:eastAsia="宋体" w:cs="Times New Roman"/>
          <w:b/>
          <w:sz w:val="28"/>
          <w:szCs w:val="28"/>
        </w:rPr>
        <w:t>2</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cs="Times New Roman"/>
          <w:sz w:val="28"/>
          <w:szCs w:val="28"/>
        </w:rPr>
        <w:t>确定检查的专业内容，</w:t>
      </w:r>
      <w:r>
        <w:rPr>
          <w:rFonts w:hint="eastAsia" w:ascii="宋体" w:hAnsi="宋体" w:eastAsia="宋体"/>
          <w:sz w:val="28"/>
          <w:szCs w:val="28"/>
        </w:rPr>
        <w:t>包括</w:t>
      </w:r>
      <w:r>
        <w:rPr>
          <w:rFonts w:hint="eastAsia" w:ascii="宋体" w:hAnsi="宋体" w:eastAsia="宋体" w:cs="Arial"/>
          <w:sz w:val="28"/>
          <w:szCs w:val="28"/>
        </w:rPr>
        <w:t>项目质量管理体系、岩土勘察、建筑、结构、给水排水、电气、暖通及其他专项工程等；</w:t>
      </w:r>
    </w:p>
    <w:p>
      <w:pPr>
        <w:ind w:left="630" w:leftChars="300"/>
        <w:rPr>
          <w:rFonts w:ascii="宋体" w:hAnsi="宋体" w:eastAsia="宋体" w:cs="Arial"/>
          <w:sz w:val="28"/>
          <w:szCs w:val="28"/>
        </w:rPr>
      </w:pPr>
      <w:r>
        <w:rPr>
          <w:rFonts w:ascii="宋体" w:hAnsi="宋体" w:eastAsia="宋体" w:cs="Times New Roman"/>
          <w:b/>
          <w:sz w:val="28"/>
          <w:szCs w:val="28"/>
        </w:rPr>
        <w:t>3</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根据对勘察设计文件的分析，准备好必要的文件，包括</w:t>
      </w:r>
      <w:r>
        <w:rPr>
          <w:rFonts w:hint="eastAsia" w:ascii="宋体" w:hAnsi="宋体" w:eastAsia="宋体" w:cs="Arial"/>
          <w:sz w:val="28"/>
          <w:szCs w:val="28"/>
        </w:rPr>
        <w:t>前期风险跟踪清单；检查表单和其他技术研究资料等。</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.3.9  </w:t>
      </w:r>
      <w:r>
        <w:rPr>
          <w:rFonts w:hint="eastAsia" w:ascii="宋体" w:hAnsi="宋体" w:eastAsia="宋体"/>
          <w:bCs/>
          <w:sz w:val="28"/>
          <w:szCs w:val="28"/>
        </w:rPr>
        <w:t>勘察设计阶段风险管理流程应符合图4</w:t>
      </w:r>
      <w:r>
        <w:rPr>
          <w:rFonts w:ascii="宋体" w:hAnsi="宋体" w:eastAsia="宋体"/>
          <w:bCs/>
          <w:sz w:val="28"/>
          <w:szCs w:val="28"/>
        </w:rPr>
        <w:t>.3.9</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
          <w:bCs/>
          <w:sz w:val="28"/>
          <w:szCs w:val="28"/>
        </w:rPr>
      </w:pPr>
      <w:r>
        <w:pict>
          <v:shape id="_x0000_i1026" o:spt="75" type="#_x0000_t75" style="height:383.8pt;width:330.4pt;" filled="f" o:preferrelative="t" stroked="f" coordsize="21600,21600">
            <v:path/>
            <v:fill on="f" focussize="0,0"/>
            <v:stroke on="f" joinstyle="miter"/>
            <v:imagedata r:id="rId8" o:title=""/>
            <o:lock v:ext="edit" aspectratio="t"/>
            <w10:wrap type="none"/>
            <w10:anchorlock/>
          </v:shape>
        </w:pict>
      </w:r>
    </w:p>
    <w:p>
      <w:pPr>
        <w:jc w:val="center"/>
        <w:rPr>
          <w:rFonts w:ascii="宋体" w:hAnsi="宋体" w:eastAsia="宋体"/>
          <w:b/>
          <w:bCs/>
          <w:sz w:val="28"/>
          <w:szCs w:val="28"/>
        </w:rPr>
      </w:pPr>
      <w:r>
        <w:rPr>
          <w:rFonts w:hint="eastAsia" w:ascii="宋体" w:hAnsi="宋体" w:eastAsia="宋体"/>
          <w:b/>
          <w:bCs/>
          <w:sz w:val="28"/>
          <w:szCs w:val="28"/>
        </w:rPr>
        <w:t>图4</w:t>
      </w:r>
      <w:r>
        <w:rPr>
          <w:rFonts w:ascii="宋体" w:hAnsi="宋体" w:eastAsia="宋体"/>
          <w:b/>
          <w:bCs/>
          <w:sz w:val="28"/>
          <w:szCs w:val="28"/>
        </w:rPr>
        <w:t>.3.9</w:t>
      </w:r>
      <w:r>
        <w:rPr>
          <w:rFonts w:hint="eastAsia" w:ascii="宋体" w:hAnsi="宋体" w:eastAsia="宋体"/>
          <w:b/>
          <w:bCs/>
          <w:sz w:val="28"/>
          <w:szCs w:val="28"/>
        </w:rPr>
        <w:t>勘察设计阶段风险管理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4.3.10  </w:t>
      </w:r>
      <w:r>
        <w:rPr>
          <w:rFonts w:hint="eastAsia" w:ascii="宋体" w:hAnsi="宋体" w:eastAsia="宋体"/>
          <w:sz w:val="28"/>
          <w:szCs w:val="28"/>
        </w:rPr>
        <w:t>对施工阶段的过程检查工作，负责过程检查的技术人员必须提前准备好所有必要的信息和资料以便风险管理工作顺利进行。</w:t>
      </w:r>
    </w:p>
    <w:p>
      <w:pPr>
        <w:ind w:firstLine="562" w:firstLineChars="200"/>
        <w:rPr>
          <w:rFonts w:ascii="宋体" w:hAnsi="宋体" w:eastAsia="宋体"/>
          <w:sz w:val="28"/>
          <w:szCs w:val="28"/>
        </w:rPr>
      </w:pPr>
      <w:r>
        <w:rPr>
          <w:rFonts w:hint="eastAsia" w:ascii="宋体" w:hAnsi="宋体" w:eastAsia="宋体" w:cs="Times New Roman"/>
          <w:b/>
          <w:sz w:val="28"/>
          <w:szCs w:val="28"/>
        </w:rPr>
        <w:t xml:space="preserve">1 </w:t>
      </w:r>
      <w:r>
        <w:rPr>
          <w:rFonts w:ascii="宋体" w:hAnsi="宋体" w:eastAsia="宋体" w:cs="Times New Roman"/>
          <w:b/>
          <w:sz w:val="28"/>
          <w:szCs w:val="28"/>
        </w:rPr>
        <w:t xml:space="preserve"> </w:t>
      </w:r>
      <w:r>
        <w:rPr>
          <w:rFonts w:hint="eastAsia" w:ascii="宋体" w:hAnsi="宋体" w:eastAsia="宋体"/>
          <w:sz w:val="28"/>
          <w:szCs w:val="28"/>
        </w:rPr>
        <w:t>技术人员需根据之前过程检查中获得的信息，了解现场的施工进度状况。</w:t>
      </w:r>
    </w:p>
    <w:p>
      <w:pPr>
        <w:ind w:firstLine="562" w:firstLineChars="200"/>
        <w:rPr>
          <w:rFonts w:ascii="宋体" w:hAnsi="宋体" w:eastAsia="宋体" w:cs="Arial"/>
          <w:sz w:val="28"/>
          <w:szCs w:val="28"/>
        </w:rPr>
      </w:pPr>
      <w:r>
        <w:rPr>
          <w:rFonts w:ascii="宋体" w:hAnsi="宋体" w:eastAsia="宋体" w:cs="Times New Roman"/>
          <w:b/>
          <w:sz w:val="28"/>
          <w:szCs w:val="28"/>
        </w:rPr>
        <w:t>2</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cs="Times New Roman"/>
          <w:sz w:val="28"/>
          <w:szCs w:val="28"/>
        </w:rPr>
        <w:t>选择检查区域，确定检查的分项内容；</w:t>
      </w:r>
      <w:r>
        <w:rPr>
          <w:rFonts w:ascii="宋体" w:hAnsi="宋体" w:eastAsia="宋体" w:cs="Arial"/>
          <w:sz w:val="28"/>
          <w:szCs w:val="28"/>
        </w:rPr>
        <w:t xml:space="preserve"> </w:t>
      </w:r>
    </w:p>
    <w:p>
      <w:pPr>
        <w:ind w:firstLine="562" w:firstLineChars="200"/>
        <w:rPr>
          <w:rFonts w:ascii="宋体" w:hAnsi="宋体" w:eastAsia="宋体" w:cs="Arial"/>
          <w:sz w:val="28"/>
          <w:szCs w:val="28"/>
        </w:rPr>
      </w:pPr>
      <w:r>
        <w:rPr>
          <w:rFonts w:ascii="宋体" w:hAnsi="宋体" w:eastAsia="宋体" w:cs="Times New Roman"/>
          <w:b/>
          <w:sz w:val="28"/>
          <w:szCs w:val="28"/>
        </w:rPr>
        <w:t>3</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技术人员需根据确定的检查分项内容，准备好必要的文件，包括</w:t>
      </w:r>
      <w:r>
        <w:rPr>
          <w:rFonts w:hint="eastAsia" w:ascii="宋体" w:hAnsi="宋体" w:eastAsia="宋体" w:cs="Arial"/>
          <w:sz w:val="28"/>
          <w:szCs w:val="28"/>
        </w:rPr>
        <w:t>要检查区域的平面布置图；前期风险跟踪清单；检查表单等；</w:t>
      </w:r>
    </w:p>
    <w:p>
      <w:pPr>
        <w:ind w:firstLine="562" w:firstLineChars="200"/>
        <w:rPr>
          <w:rFonts w:ascii="宋体" w:hAnsi="宋体" w:eastAsia="宋体" w:cs="Arial"/>
          <w:sz w:val="28"/>
          <w:szCs w:val="28"/>
        </w:rPr>
      </w:pPr>
      <w:r>
        <w:rPr>
          <w:rFonts w:ascii="宋体" w:hAnsi="宋体" w:eastAsia="宋体" w:cs="Times New Roman"/>
          <w:b/>
          <w:sz w:val="28"/>
          <w:szCs w:val="28"/>
        </w:rPr>
        <w:t>4</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技术人员需根据本次检查的内容准备好相应的检测设备。</w:t>
      </w:r>
      <w:r>
        <w:rPr>
          <w:rFonts w:ascii="宋体" w:hAnsi="宋体" w:eastAsia="宋体"/>
          <w:sz w:val="28"/>
          <w:szCs w:val="28"/>
        </w:rPr>
        <w:t xml:space="preserve">  </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.3.11  </w:t>
      </w:r>
      <w:r>
        <w:rPr>
          <w:rFonts w:hint="eastAsia" w:ascii="宋体" w:hAnsi="宋体" w:eastAsia="宋体"/>
          <w:bCs/>
          <w:sz w:val="28"/>
          <w:szCs w:val="28"/>
        </w:rPr>
        <w:t>施工阶段风险管理流程应符合图4</w:t>
      </w:r>
      <w:r>
        <w:rPr>
          <w:rFonts w:ascii="宋体" w:hAnsi="宋体" w:eastAsia="宋体"/>
          <w:bCs/>
          <w:sz w:val="28"/>
          <w:szCs w:val="28"/>
        </w:rPr>
        <w:t>.3.11</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
          <w:bCs/>
          <w:sz w:val="28"/>
          <w:szCs w:val="28"/>
        </w:rPr>
      </w:pPr>
      <w:r>
        <w:pict>
          <v:shape id="_x0000_i1027" o:spt="75" type="#_x0000_t75" style="height:368.15pt;width:297.85pt;" filled="f" o:preferrelative="t" stroked="f" coordsize="21600,21600">
            <v:path/>
            <v:fill on="f" focussize="0,0"/>
            <v:stroke on="f" joinstyle="miter"/>
            <v:imagedata r:id="rId9" o:title=""/>
            <o:lock v:ext="edit" aspectratio="t"/>
            <w10:wrap type="none"/>
            <w10:anchorlock/>
          </v:shape>
        </w:pict>
      </w:r>
    </w:p>
    <w:p>
      <w:pPr>
        <w:jc w:val="center"/>
        <w:rPr>
          <w:rFonts w:ascii="宋体" w:hAnsi="宋体" w:eastAsia="宋体"/>
          <w:b/>
          <w:bCs/>
          <w:sz w:val="28"/>
          <w:szCs w:val="28"/>
        </w:rPr>
      </w:pPr>
      <w:r>
        <w:rPr>
          <w:rFonts w:hint="eastAsia" w:ascii="宋体" w:hAnsi="宋体" w:eastAsia="宋体"/>
          <w:b/>
          <w:bCs/>
          <w:sz w:val="28"/>
          <w:szCs w:val="28"/>
        </w:rPr>
        <w:t>图4</w:t>
      </w:r>
      <w:r>
        <w:rPr>
          <w:rFonts w:ascii="宋体" w:hAnsi="宋体" w:eastAsia="宋体"/>
          <w:b/>
          <w:bCs/>
          <w:sz w:val="28"/>
          <w:szCs w:val="28"/>
        </w:rPr>
        <w:t>.3.11</w:t>
      </w:r>
      <w:r>
        <w:rPr>
          <w:rFonts w:hint="eastAsia" w:ascii="宋体" w:hAnsi="宋体" w:eastAsia="宋体"/>
          <w:b/>
          <w:bCs/>
          <w:sz w:val="28"/>
          <w:szCs w:val="28"/>
        </w:rPr>
        <w:t>施工阶段风险管理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4.3.12  </w:t>
      </w:r>
      <w:r>
        <w:rPr>
          <w:rFonts w:hint="eastAsia" w:ascii="宋体" w:hAnsi="宋体" w:eastAsia="宋体"/>
          <w:sz w:val="28"/>
          <w:szCs w:val="28"/>
        </w:rPr>
        <w:t>施工阶段的过程检查应根据施工进度计划安排且不低于平均每月两次，承担质量控制工作内容的按《建设工程监理规范》（</w:t>
      </w:r>
      <w:r>
        <w:rPr>
          <w:rFonts w:ascii="宋体" w:hAnsi="宋体" w:eastAsia="宋体"/>
          <w:sz w:val="28"/>
          <w:szCs w:val="28"/>
        </w:rPr>
        <w:t>GB/T 50319</w:t>
      </w:r>
      <w:r>
        <w:rPr>
          <w:rFonts w:hint="eastAsia" w:ascii="宋体" w:hAnsi="宋体" w:eastAsia="宋体"/>
          <w:sz w:val="28"/>
          <w:szCs w:val="28"/>
        </w:rPr>
        <w:t>）的相关要求。</w:t>
      </w:r>
    </w:p>
    <w:p>
      <w:pPr>
        <w:rPr>
          <w:rFonts w:ascii="宋体" w:hAnsi="宋体" w:eastAsia="宋体"/>
          <w:bCs/>
          <w:sz w:val="28"/>
          <w:szCs w:val="28"/>
        </w:rPr>
      </w:pPr>
      <w:r>
        <w:rPr>
          <w:rFonts w:hint="eastAsia" w:ascii="宋体" w:hAnsi="宋体" w:eastAsia="宋体" w:cs="Times New Roman"/>
          <w:b/>
          <w:sz w:val="28"/>
          <w:szCs w:val="28"/>
        </w:rPr>
        <w:t>4</w:t>
      </w:r>
      <w:r>
        <w:rPr>
          <w:rFonts w:ascii="宋体" w:hAnsi="宋体" w:eastAsia="宋体" w:cs="Times New Roman"/>
          <w:b/>
          <w:sz w:val="28"/>
          <w:szCs w:val="28"/>
        </w:rPr>
        <w:t>.3.13</w:t>
      </w:r>
      <w:r>
        <w:rPr>
          <w:rFonts w:ascii="宋体" w:hAnsi="宋体" w:eastAsia="宋体" w:cs="Times New Roman"/>
          <w:sz w:val="28"/>
          <w:szCs w:val="28"/>
        </w:rPr>
        <w:t xml:space="preserve">  </w:t>
      </w:r>
      <w:r>
        <w:rPr>
          <w:rFonts w:hint="eastAsia" w:ascii="宋体" w:hAnsi="宋体" w:eastAsia="宋体" w:cs="Times New Roman"/>
          <w:sz w:val="28"/>
          <w:szCs w:val="28"/>
        </w:rPr>
        <w:t>缺陷责任期</w:t>
      </w:r>
      <w:r>
        <w:rPr>
          <w:rFonts w:hint="eastAsia" w:ascii="宋体" w:hAnsi="宋体" w:eastAsia="宋体"/>
          <w:bCs/>
          <w:sz w:val="28"/>
          <w:szCs w:val="28"/>
        </w:rPr>
        <w:t>风险管理流程应符合图4</w:t>
      </w:r>
      <w:r>
        <w:rPr>
          <w:rFonts w:ascii="宋体" w:hAnsi="宋体" w:eastAsia="宋体"/>
          <w:bCs/>
          <w:sz w:val="28"/>
          <w:szCs w:val="28"/>
        </w:rPr>
        <w:t>.3.13</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Cs/>
          <w:sz w:val="28"/>
          <w:szCs w:val="28"/>
        </w:rPr>
      </w:pPr>
      <w:r>
        <w:rPr>
          <w:rFonts w:ascii="宋体" w:hAnsi="宋体" w:eastAsia="宋体"/>
          <w:b/>
          <w:sz w:val="28"/>
          <w:szCs w:val="28"/>
        </w:rPr>
        <w:pict>
          <v:group id="画布 119" o:spid="_x0000_s1029" o:spt="203" style="height:351.05pt;width:248.35pt;" coordsize="4967,7021">
            <o:lock v:ext="edit"/>
            <v:rect id="Rectangle 3" o:spid="_x0000_s1030" o:spt="1" style="position:absolute;left:0;top:0;height:7021;width:4967;" filled="f" o:preferrelative="t" stroked="f" coordsize="21600,21600">
              <v:path/>
              <v:fill on="f" focussize="0,0"/>
              <v:stroke on="f"/>
              <v:imagedata o:title=""/>
              <o:lock v:ext="edit"/>
            </v:rect>
            <v:shape id="Freeform 5" o:spid="_x0000_s1031" o:spt="100" style="position:absolute;left:2028;top:24;height:377;width:954;" filled="f" o:preferrelative="t" coordsize="1134,447" adj="," path="m224,447l911,447c1034,447,1134,347,1134,224c1134,100,1034,0,911,0l224,0c100,0,0,100,0,224c0,347,100,447,224,447xe">
              <v:path textboxrect="0,0,605790,239395" o:connecttype="segments"/>
              <v:fill on="f" focussize="0,0"/>
              <v:stroke weight="0.65pt" joinstyle="round" endcap="round"/>
              <v:imagedata o:title=""/>
              <o:lock v:ext="edit"/>
            </v:shape>
            <v:rect id="Rectangle 6" o:spid="_x0000_s1032" o:spt="1" style="position:absolute;left:2332;top:76;height:312;width:36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开始</w:t>
                    </w:r>
                  </w:p>
                </w:txbxContent>
              </v:textbox>
            </v:rect>
            <v:rect id="Rectangle 7" o:spid="_x0000_s1033" o:spt="1" style="position:absolute;left:1710;top:741;height:476;width:1590;" filled="f" o:preferrelative="t" coordsize="21600,21600">
              <v:path/>
              <v:fill on="f" focussize="0,0"/>
              <v:stroke weight="0.65pt" joinstyle="round" endcap="round"/>
              <v:imagedata o:title=""/>
              <o:lock v:ext="edit"/>
            </v:rect>
            <v:rect id="Rectangle 8" o:spid="_x0000_s1034" o:spt="1" style="position:absolute;left:2121;top:832;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过程检查</w:t>
                    </w:r>
                  </w:p>
                </w:txbxContent>
              </v:textbox>
            </v:rect>
            <v:rect id="Rectangle 9" o:spid="_x0000_s1035" o:spt="1" style="position:absolute;left:1710;top:3024;height:478;width:1590;" filled="f" o:preferrelative="t" coordsize="21600,21600">
              <v:path/>
              <v:fill on="f" focussize="0,0"/>
              <v:stroke weight="0.65pt" joinstyle="round" endcap="round"/>
              <v:imagedata o:title=""/>
              <o:lock v:ext="edit"/>
            </v:rect>
            <v:rect id="Rectangle 10" o:spid="_x0000_s1036" o:spt="1" style="position:absolute;left:1787;top:3041;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风险识别</w:t>
                    </w:r>
                  </w:p>
                </w:txbxContent>
              </v:textbox>
            </v:rect>
            <v:rect id="Rectangle 11" o:spid="_x0000_s1037" o:spt="1" style="position:absolute;left:2511;top:3068;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w:t>
                    </w:r>
                  </w:p>
                </w:txbxContent>
              </v:textbox>
            </v:rect>
            <v:rect id="Rectangle 12" o:spid="_x0000_s1038" o:spt="1" style="position:absolute;left:2687;top:3032;height:312;width:54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分析与</w:t>
                    </w:r>
                  </w:p>
                </w:txbxContent>
              </v:textbox>
            </v:rect>
            <v:rect id="Rectangle 13" o:spid="_x0000_s1039" o:spt="1" style="position:absolute;left:2332;top:3243;height:312;width:36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评价</w:t>
                    </w:r>
                  </w:p>
                </w:txbxContent>
              </v:textbox>
            </v:rect>
            <v:rect id="Rectangle 14" o:spid="_x0000_s1040" o:spt="1" style="position:absolute;left:1710;top:3803;height:477;width:1590;" filled="f" o:preferrelative="t" coordsize="21600,21600">
              <v:path/>
              <v:fill on="f" focussize="0,0"/>
              <v:stroke weight="0.65pt" joinstyle="round" endcap="round"/>
              <v:imagedata o:title=""/>
              <o:lock v:ext="edit"/>
            </v:rect>
            <v:rect id="Rectangle 15" o:spid="_x0000_s1041" o:spt="1" style="position:absolute;left:1964;top:3887;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过程检查报告</w:t>
                    </w:r>
                  </w:p>
                </w:txbxContent>
              </v:textbox>
            </v:rect>
            <v:shape id="Freeform 16" o:spid="_x0000_s1042" o:spt="100" style="position:absolute;left:1710;top:4582;height:636;width:1590;" filled="f" o:preferrelative="t" coordsize="1590,636" adj="," path="m0,318l795,0,1590,318,795,636,0,318xe">
              <v:path textboxrect="0,0,1009650,403860" o:connecttype="segments"/>
              <v:fill on="f" focussize="0,0"/>
              <v:stroke weight="0.65pt" joinstyle="round" endcap="round"/>
              <v:imagedata o:title=""/>
              <o:lock v:ext="edit"/>
            </v:shape>
            <v:rect id="Rectangle 17" o:spid="_x0000_s1043" o:spt="1" style="position:absolute;left:2152;top:4665;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责任单位</w:t>
                    </w:r>
                  </w:p>
                </w:txbxContent>
              </v:textbox>
            </v:rect>
            <v:rect id="Rectangle 18" o:spid="_x0000_s1044" o:spt="1" style="position:absolute;left:2161;top:4853;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维修整改</w:t>
                    </w:r>
                  </w:p>
                </w:txbxContent>
              </v:textbox>
            </v:rect>
            <v:shape id="Freeform 19" o:spid="_x0000_s1045" o:spt="100" style="position:absolute;left:1869;top:6609;height:376;width:1272;" filled="f" o:preferrelative="t" coordsize="1512,447" adj="," path="m224,447l1289,447c1412,447,1512,347,1512,223c1512,100,1412,0,1289,0l224,0c100,0,0,100,0,223c0,347,100,447,224,447xe">
              <v:path textboxrect="0,0,807720,238760" o:connecttype="segments"/>
              <v:fill on="f" focussize="0,0"/>
              <v:stroke weight="0.65pt" joinstyle="round" endcap="round"/>
              <v:imagedata o:title=""/>
              <o:lock v:ext="edit"/>
            </v:shape>
            <v:rect id="Rectangle 20" o:spid="_x0000_s1046" o:spt="1" style="position:absolute;left:1940;top:6641;height:312;width:1276;"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保险责任</w:t>
                    </w:r>
                    <w:r>
                      <w:rPr>
                        <w:rFonts w:ascii="宋体" w:eastAsia="宋体" w:cs="宋体"/>
                        <w:color w:val="000000"/>
                        <w:kern w:val="0"/>
                        <w:sz w:val="18"/>
                        <w:szCs w:val="18"/>
                      </w:rPr>
                      <w:t>开始</w:t>
                    </w:r>
                  </w:p>
                </w:txbxContent>
              </v:textbox>
            </v:rect>
            <v:line id="Line 21" o:spid="_x0000_s1047" o:spt="20" style="position:absolute;left:2505;top:3502;height:182;width:0;" o:preferrelative="t" coordsize="21600,21600">
              <v:path arrowok="t"/>
              <v:fill focussize="0,0"/>
              <v:stroke weight="0.65pt" endcap="round"/>
              <v:imagedata o:title=""/>
              <o:lock v:ext="edit"/>
            </v:line>
            <v:shape id="Freeform 22" o:spid="_x0000_s1048" o:spt="100" style="position:absolute;left:2437;top:3667;height:136;width:136;" fillcolor="#000000" filled="t" o:preferrelative="t" stroked="f" coordsize="136,136" adj="," path="m136,0l68,136,0,0,136,0xe">
              <v:path textboxrect="0,0,86360,86360" o:connecttype="segments"/>
              <v:fill on="t" focussize="0,0"/>
              <v:stroke on="f" joinstyle="round"/>
              <v:imagedata o:title=""/>
              <o:lock v:ext="edit"/>
            </v:shape>
            <v:line id="Line 23" o:spid="_x0000_s1049" o:spt="20" style="position:absolute;left:2505;top:4280;height:183;width:0;" o:preferrelative="t" coordsize="21600,21600">
              <v:path arrowok="t"/>
              <v:fill focussize="0,0"/>
              <v:stroke weight="0.65pt" endcap="round"/>
              <v:imagedata o:title=""/>
              <o:lock v:ext="edit"/>
            </v:line>
            <v:shape id="Freeform 24" o:spid="_x0000_s1050" o:spt="100" style="position:absolute;left:2437;top:4446;height:136;width:136;" fillcolor="#000000" filled="t" o:preferrelative="t" stroked="f" coordsize="136,136" adj="," path="m136,0l68,136,0,0,136,0xe">
              <v:path textboxrect="0,0,86360,86360" o:connecttype="segments"/>
              <v:fill on="t" focussize="0,0"/>
              <v:stroke on="f" joinstyle="round"/>
              <v:imagedata o:title=""/>
              <o:lock v:ext="edit"/>
            </v:shape>
            <v:shape id="Freeform 25" o:spid="_x0000_s1051" o:spt="100" style="position:absolute;left:3300;top:3263;height:1637;width:477;" filled="f" o:preferrelative="t" coordsize="477,1637" adj="," path="m0,1637l477,1637,477,0,118,0e">
              <v:path textboxrect="0,0,302895,1039495" o:connecttype="segments"/>
              <v:fill on="f" focussize="0,0"/>
              <v:stroke weight="0.65pt" joinstyle="round" endcap="round"/>
              <v:imagedata o:title=""/>
              <o:lock v:ext="edit"/>
            </v:shape>
            <v:shape id="Freeform 26" o:spid="_x0000_s1052" o:spt="100" style="position:absolute;left:3300;top:3195;height:136;width:135;" fillcolor="#000000" filled="t" o:preferrelative="t" stroked="f" coordsize="135,136" adj="," path="m135,136l0,68,135,0,135,136xe">
              <v:path textboxrect="0,0,85725,86360" o:connecttype="segments"/>
              <v:fill on="t" focussize="0,0"/>
              <v:stroke on="f" joinstyle="round"/>
              <v:imagedata o:title=""/>
              <o:lock v:ext="edit"/>
            </v:shape>
            <v:rect id="Rectangle 27" o:spid="_x0000_s1053" o:spt="1" style="position:absolute;left:3596;top:3950;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否</w:t>
                    </w:r>
                  </w:p>
                </w:txbxContent>
              </v:textbox>
            </v:rect>
            <v:rect id="Rectangle 28" o:spid="_x0000_s1054" o:spt="1" style="position:absolute;left:24;top:1735;height:478;width:1068;" filled="f" o:preferrelative="t" coordsize="21600,21600">
              <v:path/>
              <v:fill on="f" focussize="0,0"/>
              <v:stroke weight="0.65pt" joinstyle="round" endcap="round"/>
              <v:imagedata o:title=""/>
              <o:lock v:ext="edit"/>
            </v:rect>
            <v:rect id="Rectangle 29" o:spid="_x0000_s1055" o:spt="1" style="position:absolute;left:202;top:1833;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现场检查</w:t>
                    </w:r>
                  </w:p>
                </w:txbxContent>
              </v:textbox>
            </v:rect>
            <v:rect id="Rectangle 30" o:spid="_x0000_s1056" o:spt="1" style="position:absolute;left:1710;top:1735;height:478;width:1590;" filled="f" o:preferrelative="t" coordsize="21600,21600">
              <v:path/>
              <v:fill on="f" focussize="0,0"/>
              <v:stroke weight="0.65pt" joinstyle="round" endcap="round"/>
              <v:imagedata o:title=""/>
              <o:lock v:ext="edit"/>
            </v:rect>
            <v:rect id="Rectangle 31" o:spid="_x0000_s1057" o:spt="1" style="position:absolute;left:1973;top:1720;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物业维修记录</w:t>
                    </w:r>
                  </w:p>
                </w:txbxContent>
              </v:textbox>
            </v:rect>
            <v:rect id="Rectangle 32" o:spid="_x0000_s1058" o:spt="1" style="position:absolute;left:1977;top:1936;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质量投诉记录</w:t>
                    </w:r>
                  </w:p>
                </w:txbxContent>
              </v:textbox>
            </v:rect>
            <v:rect id="Rectangle 33" o:spid="_x0000_s1059" o:spt="1" style="position:absolute;left:3886;top:1735;height:478;width:1067;" filled="f" o:preferrelative="t" coordsize="21600,21600">
              <v:path/>
              <v:fill on="f" focussize="0,0"/>
              <v:stroke weight="0.65pt" joinstyle="round" endcap="round"/>
              <v:imagedata o:title=""/>
              <o:lock v:ext="edit"/>
            </v:rect>
            <v:rect id="Rectangle 34" o:spid="_x0000_s1060" o:spt="1" style="position:absolute;left:4071;top:1824;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质量回访</w:t>
                    </w:r>
                  </w:p>
                </w:txbxContent>
              </v:textbox>
            </v:rect>
            <v:line id="Line 35" o:spid="_x0000_s1061" o:spt="20" style="position:absolute;left:2505;top:401;height:221;width:0;" o:preferrelative="t" coordsize="21600,21600">
              <v:path arrowok="t"/>
              <v:fill focussize="0,0"/>
              <v:stroke weight="0.65pt" endcap="round"/>
              <v:imagedata o:title=""/>
              <o:lock v:ext="edit"/>
            </v:line>
            <v:shape id="Freeform 36" o:spid="_x0000_s1062" o:spt="100" style="position:absolute;left:2437;top:605;height:136;width:136;" fillcolor="#000000" filled="t" o:preferrelative="t" stroked="f" coordsize="136,136" adj="," path="m136,0l68,136,0,0,136,0xe">
              <v:path textboxrect="0,0,86360,86360" o:connecttype="segments"/>
              <v:fill on="t" focussize="0,0"/>
              <v:stroke on="f" joinstyle="round"/>
              <v:imagedata o:title=""/>
              <o:lock v:ext="edit"/>
            </v:shape>
            <v:line id="Line 37" o:spid="_x0000_s1063" o:spt="20" style="position:absolute;left:2505;top:1217;height:399;width:0;" o:preferrelative="t" coordsize="21600,21600">
              <v:path arrowok="t"/>
              <v:fill focussize="0,0"/>
              <v:stroke weight="0.65pt" endcap="round"/>
              <v:imagedata o:title=""/>
              <o:lock v:ext="edit"/>
            </v:line>
            <v:shape id="Freeform 38" o:spid="_x0000_s1064" o:spt="100" style="position:absolute;left:2437;top:1600;height:135;width:136;" fillcolor="#000000" filled="t" o:preferrelative="t" stroked="f" coordsize="136,135" adj="," path="m136,0l68,135,0,0,136,0xe">
              <v:path textboxrect="0,0,86360,85725" o:connecttype="segments"/>
              <v:fill on="t" focussize="0,0"/>
              <v:stroke on="f" joinstyle="round"/>
              <v:imagedata o:title=""/>
              <o:lock v:ext="edit"/>
            </v:shape>
            <v:shape id="Freeform 39" o:spid="_x0000_s1065" o:spt="100" style="position:absolute;left:559;top:1217;height:399;width:1946;" filled="f" o:preferrelative="t" coordsize="1946,399" adj="," path="m1946,0l1946,279,0,279,0,399e">
              <v:path textboxrect="0,0,1235710,253365" o:connecttype="segments"/>
              <v:fill on="f" focussize="0,0"/>
              <v:stroke weight="0.65pt" joinstyle="round" endcap="round"/>
              <v:imagedata o:title=""/>
              <o:lock v:ext="edit"/>
            </v:shape>
            <v:shape id="Freeform 40" o:spid="_x0000_s1066" o:spt="100" style="position:absolute;left:491;top:1600;height:135;width:135;" fillcolor="#000000" filled="t" o:preferrelative="t" stroked="f" coordsize="135,135" adj="," path="m135,0l68,135,0,0,135,0xe">
              <v:path textboxrect="0,0,85725,85725" o:connecttype="segments"/>
              <v:fill on="t" focussize="0,0"/>
              <v:stroke on="f" joinstyle="round"/>
              <v:imagedata o:title=""/>
              <o:lock v:ext="edit"/>
            </v:shape>
            <v:shape id="Freeform 41" o:spid="_x0000_s1067" o:spt="100" style="position:absolute;left:2505;top:1217;height:399;width:1915;" filled="f" o:preferrelative="t" coordsize="1915,399" adj="," path="m0,0l0,279,1915,279,1915,399e">
              <v:path textboxrect="0,0,1216025,253365" o:connecttype="segments"/>
              <v:fill on="f" focussize="0,0"/>
              <v:stroke weight="0.65pt" joinstyle="round" endcap="round"/>
              <v:imagedata o:title=""/>
              <o:lock v:ext="edit"/>
            </v:shape>
            <v:shape id="Freeform 42" o:spid="_x0000_s1068" o:spt="100" style="position:absolute;left:4351;top:1600;height:135;width:137;" fillcolor="#000000" filled="t" o:preferrelative="t" stroked="f" coordsize="137,135" adj="," path="m137,0l69,135,0,0,137,0xe">
              <v:path textboxrect="0,0,86995,85725" o:connecttype="segments"/>
              <v:fill on="t" focussize="0,0"/>
              <v:stroke on="f" joinstyle="round"/>
              <v:imagedata o:title=""/>
              <o:lock v:ext="edit"/>
            </v:shape>
            <v:shape id="Freeform 43" o:spid="_x0000_s1069" o:spt="100" style="position:absolute;left:2505;top:2213;height:692;width:1915;" filled="f" o:preferrelative="t" coordsize="1915,692" adj="," path="m1915,0l1915,334,0,334,0,692e">
              <v:path textboxrect="0,0,1216025,439420" o:connecttype="segments"/>
              <v:fill on="f" focussize="0,0"/>
              <v:stroke weight="0.65pt" joinstyle="round" endcap="round"/>
              <v:imagedata o:title=""/>
              <o:lock v:ext="edit"/>
            </v:shape>
            <v:shape id="Freeform 44" o:spid="_x0000_s1070"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line id="Line 45" o:spid="_x0000_s1071" o:spt="20" style="position:absolute;left:2505;top:2213;height:692;width:0;" o:preferrelative="t" coordsize="21600,21600">
              <v:path arrowok="t"/>
              <v:fill focussize="0,0"/>
              <v:stroke weight="0.65pt" endcap="round"/>
              <v:imagedata o:title=""/>
              <o:lock v:ext="edit"/>
            </v:line>
            <v:shape id="Freeform 46" o:spid="_x0000_s1072"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rect id="Rectangle 47" o:spid="_x0000_s1073" o:spt="1" style="position:absolute;left:1472;top:5792;height:477;width:2067;" filled="f" o:preferrelative="t" coordsize="21600,21600">
              <v:path/>
              <v:fill on="f" focussize="0,0"/>
              <v:stroke weight="0.65pt" joinstyle="round" endcap="round"/>
              <v:imagedata o:title=""/>
              <o:lock v:ext="edit"/>
            </v:rect>
            <v:rect id="Rectangle 48" o:spid="_x0000_s1074" o:spt="1" style="position:absolute;left:1793;top:5799;height:312;width:144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复查风险评估报告</w:t>
                    </w:r>
                  </w:p>
                </w:txbxContent>
              </v:textbox>
            </v:rect>
            <v:rect id="Rectangle 49" o:spid="_x0000_s1075" o:spt="1" style="position:absolute;left:1951;top:6007;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总体风险修正</w:t>
                    </w:r>
                  </w:p>
                </w:txbxContent>
              </v:textbox>
            </v:rect>
            <v:line id="Line 50" o:spid="_x0000_s1076" o:spt="20" style="position:absolute;left:2505;top:6269;height:221;width:0;" o:preferrelative="t" coordsize="21600,21600">
              <v:path arrowok="t"/>
              <v:fill focussize="0,0"/>
              <v:stroke weight="0.65pt" endcap="round"/>
              <v:imagedata o:title=""/>
              <o:lock v:ext="edit"/>
            </v:line>
            <v:shape id="Freeform 51" o:spid="_x0000_s1077" o:spt="100" style="position:absolute;left:2437;top:6473;height:136;width:136;" fillcolor="#000000" filled="t" o:preferrelative="t" stroked="f" coordsize="136,136" adj="," path="m136,0l68,136,0,0,136,0xe">
              <v:path textboxrect="0,0,86360,86360" o:connecttype="segments"/>
              <v:fill on="t" focussize="0,0"/>
              <v:stroke on="f" joinstyle="round"/>
              <v:imagedata o:title=""/>
              <o:lock v:ext="edit"/>
            </v:shape>
            <v:shape id="Freeform 52" o:spid="_x0000_s1078" o:spt="100" style="position:absolute;left:559;top:2213;height:692;width:1946;" filled="f" o:preferrelative="t" coordsize="1946,692" adj="," path="m0,0l0,334,1946,334,1946,692e">
              <v:path textboxrect="0,0,1235710,439420" o:connecttype="segments"/>
              <v:fill on="f" focussize="0,0"/>
              <v:stroke weight="0.65pt" joinstyle="round" endcap="round"/>
              <v:imagedata o:title=""/>
              <o:lock v:ext="edit"/>
            </v:shape>
            <v:shape id="Freeform 53" o:spid="_x0000_s1079"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line id="Line 54" o:spid="_x0000_s1080" o:spt="20" style="position:absolute;left:2505;top:5218;height:456;width:0;" o:preferrelative="t" coordsize="21600,21600">
              <v:path arrowok="t"/>
              <v:fill focussize="0,0"/>
              <v:stroke weight="0.65pt" endcap="round"/>
              <v:imagedata o:title=""/>
              <o:lock v:ext="edit"/>
            </v:line>
            <v:shape id="Freeform 55" o:spid="_x0000_s1081" o:spt="100" style="position:absolute;left:2437;top:5656;height:136;width:136;" fillcolor="#000000" filled="t" o:preferrelative="t" stroked="f" coordsize="136,136" adj="," path="m136,0l68,136,0,0,136,0xe">
              <v:path textboxrect="0,0,86360,86360" o:connecttype="segments"/>
              <v:fill on="t" focussize="0,0"/>
              <v:stroke on="f" joinstyle="round"/>
              <v:imagedata o:title=""/>
              <o:lock v:ext="edit"/>
            </v:shape>
            <v:rect id="Rectangle 56" o:spid="_x0000_s1082" o:spt="1" style="position:absolute;left:2415;top:5398;height:215;width:180;" o:preferrelative="t" stroked="f" coordsize="21600,21600">
              <v:path/>
              <v:fill focussize="0,0"/>
              <v:stroke on="f"/>
              <v:imagedata o:title=""/>
              <o:lock v:ext="edit"/>
            </v:rect>
            <v:rect id="Rectangle 57" o:spid="_x0000_s1083" o:spt="1" style="position:absolute;left:2421;top:5354;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是</w:t>
                    </w:r>
                  </w:p>
                </w:txbxContent>
              </v:textbox>
            </v:rect>
            <w10:wrap type="none"/>
            <w10:anchorlock/>
          </v:group>
        </w:pict>
      </w:r>
    </w:p>
    <w:p>
      <w:pPr>
        <w:jc w:val="center"/>
        <w:rPr>
          <w:rFonts w:ascii="宋体" w:hAnsi="宋体" w:eastAsia="宋体"/>
          <w:bCs/>
          <w:sz w:val="28"/>
          <w:szCs w:val="28"/>
        </w:rPr>
      </w:pPr>
      <w:r>
        <w:rPr>
          <w:rFonts w:hint="eastAsia" w:ascii="宋体" w:hAnsi="宋体" w:eastAsia="宋体"/>
          <w:b/>
          <w:bCs/>
          <w:sz w:val="28"/>
          <w:szCs w:val="28"/>
        </w:rPr>
        <w:t>图4</w:t>
      </w:r>
      <w:r>
        <w:rPr>
          <w:rFonts w:ascii="宋体" w:hAnsi="宋体" w:eastAsia="宋体"/>
          <w:b/>
          <w:bCs/>
          <w:sz w:val="28"/>
          <w:szCs w:val="28"/>
        </w:rPr>
        <w:t>.3.13</w:t>
      </w:r>
      <w:r>
        <w:rPr>
          <w:rFonts w:hint="eastAsia" w:ascii="宋体" w:hAnsi="宋体" w:eastAsia="宋体"/>
          <w:b/>
          <w:bCs/>
          <w:sz w:val="28"/>
          <w:szCs w:val="28"/>
        </w:rPr>
        <w:t>缺陷责任期风险管理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4.3.14  </w:t>
      </w:r>
      <w:r>
        <w:rPr>
          <w:rFonts w:hint="eastAsia" w:ascii="宋体" w:hAnsi="宋体" w:eastAsia="宋体"/>
          <w:sz w:val="28"/>
          <w:szCs w:val="28"/>
        </w:rPr>
        <w:t>缺陷责任期的过程检查不宜少于4次，并在保险赔偿责任开始的三个月前出具《复查风险评估报告》。</w:t>
      </w:r>
      <w:r>
        <w:rPr>
          <w:rFonts w:ascii="宋体" w:hAnsi="宋体" w:eastAsia="宋体"/>
          <w:sz w:val="28"/>
          <w:szCs w:val="28"/>
        </w:rPr>
        <w:br w:type="page"/>
      </w:r>
    </w:p>
    <w:p>
      <w:pPr>
        <w:pStyle w:val="3"/>
        <w:rPr>
          <w:rFonts w:ascii="宋体" w:hAnsi="宋体"/>
        </w:rPr>
      </w:pPr>
      <w:bookmarkStart w:id="21" w:name="_Toc58848578"/>
      <w:r>
        <w:rPr>
          <w:rFonts w:hint="eastAsia" w:ascii="宋体" w:hAnsi="宋体"/>
        </w:rPr>
        <w:t>4</w:t>
      </w:r>
      <w:r>
        <w:rPr>
          <w:rFonts w:ascii="宋体" w:hAnsi="宋体"/>
        </w:rPr>
        <w:t xml:space="preserve">.4  </w:t>
      </w:r>
      <w:r>
        <w:rPr>
          <w:rFonts w:hint="eastAsia" w:ascii="宋体" w:hAnsi="宋体"/>
        </w:rPr>
        <w:t>风险管理内容</w:t>
      </w:r>
      <w:bookmarkEnd w:id="21"/>
    </w:p>
    <w:p>
      <w:pPr>
        <w:rPr>
          <w:rFonts w:ascii="宋体" w:hAnsi="宋体" w:eastAsia="宋体"/>
          <w:b/>
          <w:bCs/>
          <w:sz w:val="28"/>
          <w:szCs w:val="28"/>
        </w:rPr>
      </w:pPr>
      <w:r>
        <w:rPr>
          <w:rFonts w:ascii="宋体" w:hAnsi="宋体" w:eastAsia="宋体"/>
          <w:b/>
          <w:bCs/>
          <w:sz w:val="28"/>
          <w:szCs w:val="28"/>
        </w:rPr>
        <w:t xml:space="preserve">4.4.1  </w:t>
      </w:r>
      <w:r>
        <w:rPr>
          <w:rFonts w:hint="eastAsia" w:ascii="宋体" w:hAnsi="宋体" w:eastAsia="宋体"/>
          <w:bCs/>
          <w:sz w:val="28"/>
          <w:szCs w:val="28"/>
        </w:rPr>
        <w:t>根据建筑工程质量潜在缺陷保险的保单内容，风险管理的内容可以划分为场地环境与地基基础、主体结构、防水保温工程、安装工程、装修工程等五部分。</w:t>
      </w:r>
    </w:p>
    <w:p>
      <w:pPr>
        <w:rPr>
          <w:rFonts w:ascii="宋体" w:hAnsi="宋体" w:eastAsia="宋体"/>
          <w:bCs/>
          <w:sz w:val="28"/>
          <w:szCs w:val="28"/>
        </w:rPr>
      </w:pPr>
      <w:r>
        <w:rPr>
          <w:rFonts w:ascii="宋体" w:hAnsi="宋体" w:eastAsia="宋体"/>
          <w:b/>
          <w:bCs/>
          <w:sz w:val="28"/>
          <w:szCs w:val="28"/>
        </w:rPr>
        <w:t xml:space="preserve">4.4.2  </w:t>
      </w:r>
      <w:r>
        <w:rPr>
          <w:rFonts w:hint="eastAsia" w:ascii="宋体" w:hAnsi="宋体" w:eastAsia="宋体"/>
          <w:bCs/>
          <w:sz w:val="28"/>
          <w:szCs w:val="28"/>
        </w:rPr>
        <w:t>风险管理</w:t>
      </w:r>
      <w:r>
        <w:rPr>
          <w:rFonts w:ascii="宋体" w:hAnsi="宋体" w:eastAsia="宋体"/>
          <w:bCs/>
          <w:sz w:val="28"/>
          <w:szCs w:val="28"/>
        </w:rPr>
        <w:t>应对采用新技术、新材料、新工艺、新设备系统进行风险分析</w:t>
      </w:r>
      <w:r>
        <w:rPr>
          <w:rFonts w:hint="eastAsia" w:ascii="宋体" w:hAnsi="宋体" w:eastAsia="宋体"/>
          <w:bCs/>
          <w:sz w:val="28"/>
          <w:szCs w:val="28"/>
        </w:rPr>
        <w:t>。</w:t>
      </w:r>
    </w:p>
    <w:p>
      <w:pPr>
        <w:rPr>
          <w:rFonts w:ascii="宋体" w:hAnsi="宋体" w:eastAsia="宋体"/>
          <w:bCs/>
          <w:sz w:val="28"/>
          <w:szCs w:val="28"/>
        </w:rPr>
      </w:pPr>
      <w:r>
        <w:rPr>
          <w:rFonts w:ascii="宋体" w:hAnsi="宋体" w:eastAsia="宋体"/>
          <w:b/>
          <w:bCs/>
          <w:sz w:val="28"/>
          <w:szCs w:val="28"/>
        </w:rPr>
        <w:t xml:space="preserve">4.4.3  </w:t>
      </w:r>
      <w:r>
        <w:rPr>
          <w:rFonts w:hint="eastAsia" w:ascii="宋体" w:hAnsi="宋体" w:eastAsia="宋体"/>
          <w:bCs/>
          <w:sz w:val="28"/>
          <w:szCs w:val="28"/>
        </w:rPr>
        <w:t>风险管理</w:t>
      </w:r>
      <w:r>
        <w:rPr>
          <w:rFonts w:ascii="宋体" w:hAnsi="宋体" w:eastAsia="宋体"/>
          <w:bCs/>
          <w:sz w:val="28"/>
          <w:szCs w:val="28"/>
        </w:rPr>
        <w:t>对建设中的关键工序或难点</w:t>
      </w:r>
      <w:r>
        <w:rPr>
          <w:rFonts w:hint="eastAsia" w:ascii="宋体" w:hAnsi="宋体" w:eastAsia="宋体"/>
          <w:bCs/>
          <w:sz w:val="28"/>
          <w:szCs w:val="28"/>
        </w:rPr>
        <w:t>根据其规模或对工程质量的影响</w:t>
      </w:r>
      <w:r>
        <w:rPr>
          <w:rFonts w:ascii="宋体" w:hAnsi="宋体" w:eastAsia="宋体"/>
          <w:bCs/>
          <w:sz w:val="28"/>
          <w:szCs w:val="28"/>
        </w:rPr>
        <w:t>进行</w:t>
      </w:r>
      <w:r>
        <w:rPr>
          <w:rFonts w:hint="eastAsia" w:ascii="宋体" w:hAnsi="宋体" w:eastAsia="宋体"/>
          <w:bCs/>
          <w:sz w:val="28"/>
          <w:szCs w:val="28"/>
        </w:rPr>
        <w:t>全过程</w:t>
      </w:r>
      <w:r>
        <w:rPr>
          <w:rFonts w:ascii="宋体" w:hAnsi="宋体" w:eastAsia="宋体"/>
          <w:bCs/>
          <w:sz w:val="28"/>
          <w:szCs w:val="28"/>
        </w:rPr>
        <w:t>专项风险评估</w:t>
      </w:r>
      <w:r>
        <w:rPr>
          <w:rFonts w:hint="eastAsia" w:ascii="宋体" w:hAnsi="宋体" w:eastAsia="宋体"/>
          <w:bCs/>
          <w:sz w:val="28"/>
          <w:szCs w:val="28"/>
        </w:rPr>
        <w:t>，包括但不限于创新体系、不良地质条件、装配式结构、幕墙工程等。</w:t>
      </w:r>
    </w:p>
    <w:p>
      <w:pPr>
        <w:rPr>
          <w:rFonts w:ascii="宋体" w:hAnsi="宋体" w:eastAsia="宋体"/>
          <w:bCs/>
          <w:sz w:val="28"/>
          <w:szCs w:val="28"/>
        </w:rPr>
      </w:pPr>
      <w:r>
        <w:rPr>
          <w:rFonts w:ascii="宋体" w:hAnsi="宋体" w:eastAsia="宋体"/>
          <w:b/>
          <w:bCs/>
          <w:sz w:val="28"/>
          <w:szCs w:val="28"/>
        </w:rPr>
        <w:t xml:space="preserve">4.4.4  </w:t>
      </w:r>
      <w:r>
        <w:rPr>
          <w:rFonts w:hint="eastAsia" w:ascii="宋体" w:hAnsi="宋体" w:eastAsia="宋体"/>
          <w:bCs/>
          <w:sz w:val="28"/>
          <w:szCs w:val="28"/>
        </w:rPr>
        <w:t>参建企业资信风险管理的主要包括以下内容：</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基本资料：企业注册资金、经验范围、企业资质等；</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经营情况：参建企业资产规模、经营能力、营收分析、参建企业的行业影响、业务占有率、业务渠道等；</w:t>
      </w:r>
    </w:p>
    <w:p>
      <w:pPr>
        <w:ind w:firstLine="562" w:firstLineChars="200"/>
        <w:rPr>
          <w:rFonts w:ascii="宋体" w:hAnsi="宋体" w:eastAsia="宋体" w:cs="Times New Roman"/>
          <w:sz w:val="28"/>
          <w:szCs w:val="28"/>
        </w:rPr>
      </w:pPr>
      <w:r>
        <w:rPr>
          <w:rFonts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组织结构：参与本项目的团队结构、主要管理人员和技术人员的执业资格和专业工作年限及参与的同类项目质量调查、公司质量管理制度及执行情况调查；</w:t>
      </w:r>
    </w:p>
    <w:p>
      <w:pPr>
        <w:ind w:firstLine="562" w:firstLineChars="200"/>
        <w:rPr>
          <w:rFonts w:ascii="宋体" w:hAnsi="宋体" w:eastAsia="宋体" w:cs="Times New Roman"/>
          <w:sz w:val="28"/>
          <w:szCs w:val="28"/>
        </w:rPr>
      </w:pPr>
      <w:r>
        <w:rPr>
          <w:rFonts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信用记录：企业信用等级评价、税务记录、诉讼记录等。</w:t>
      </w:r>
    </w:p>
    <w:p>
      <w:pPr>
        <w:rPr>
          <w:rFonts w:ascii="宋体" w:hAnsi="宋体" w:eastAsia="宋体" w:cs="Times New Roman"/>
          <w:sz w:val="28"/>
          <w:szCs w:val="28"/>
        </w:rPr>
      </w:pPr>
      <w:r>
        <w:rPr>
          <w:rFonts w:ascii="宋体" w:hAnsi="宋体" w:eastAsia="宋体"/>
          <w:b/>
          <w:bCs/>
          <w:sz w:val="28"/>
          <w:szCs w:val="28"/>
        </w:rPr>
        <w:t xml:space="preserve">4.4.5  </w:t>
      </w:r>
      <w:r>
        <w:rPr>
          <w:rFonts w:hint="eastAsia" w:ascii="宋体" w:hAnsi="宋体" w:eastAsia="宋体"/>
          <w:bCs/>
          <w:sz w:val="28"/>
          <w:szCs w:val="28"/>
        </w:rPr>
        <w:t>勘察设计阶段的</w:t>
      </w:r>
      <w:r>
        <w:rPr>
          <w:rFonts w:hint="eastAsia" w:ascii="宋体" w:hAnsi="宋体" w:eastAsia="宋体" w:cs="Times New Roman"/>
          <w:sz w:val="28"/>
          <w:szCs w:val="28"/>
        </w:rPr>
        <w:t>风险管理包括以下内容：</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分析场地环境对建筑质量的影响，包括气候环境、地形地貌、影响范围内的建筑物和构筑物、岩土地质水文特征等；</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验证荷载作用效应、结构计算假定和结构计算方法；对地基基础、主体结构的安全性进行风险分析；</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对采用的建筑材料的适用性进行验证；</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对防水保温工程进行验证；对不同材料、不同构造层之间的连接进行验证；</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5</w:t>
      </w:r>
      <w:r>
        <w:rPr>
          <w:rFonts w:ascii="宋体" w:hAnsi="宋体" w:eastAsia="宋体" w:cs="Times New Roman"/>
          <w:sz w:val="28"/>
          <w:szCs w:val="28"/>
        </w:rPr>
        <w:t xml:space="preserve">  </w:t>
      </w:r>
      <w:r>
        <w:rPr>
          <w:rFonts w:hint="eastAsia" w:ascii="宋体" w:hAnsi="宋体" w:eastAsia="宋体" w:cs="Times New Roman"/>
          <w:sz w:val="28"/>
          <w:szCs w:val="28"/>
        </w:rPr>
        <w:t>验证安装工程（包含给水排水工程、采暖通风与空气调节、燃气工程、电气工程及其他保证建筑正常使用的系统工程）系统的安全性、适用性、耐久性、完整性及不同系统间的兼容性；</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6</w:t>
      </w:r>
      <w:r>
        <w:rPr>
          <w:rFonts w:ascii="宋体" w:hAnsi="宋体" w:eastAsia="宋体" w:cs="Times New Roman"/>
          <w:sz w:val="28"/>
          <w:szCs w:val="28"/>
        </w:rPr>
        <w:t xml:space="preserve">  </w:t>
      </w:r>
      <w:r>
        <w:rPr>
          <w:rFonts w:hint="eastAsia" w:ascii="宋体" w:hAnsi="宋体" w:eastAsia="宋体" w:cs="Times New Roman"/>
          <w:sz w:val="28"/>
          <w:szCs w:val="28"/>
        </w:rPr>
        <w:t>验证装修工程（包含内外门窗、护栏及栏杆、楼地面工程、吊顶及顶棚、饰面工程、轻质隔墙及隔断）的构造措施。</w:t>
      </w:r>
    </w:p>
    <w:p>
      <w:pPr>
        <w:rPr>
          <w:rFonts w:ascii="宋体" w:hAnsi="宋体" w:eastAsia="宋体" w:cs="Times New Roman"/>
          <w:sz w:val="28"/>
          <w:szCs w:val="28"/>
        </w:rPr>
      </w:pPr>
      <w:r>
        <w:rPr>
          <w:rFonts w:ascii="宋体" w:hAnsi="宋体" w:eastAsia="宋体"/>
          <w:b/>
          <w:bCs/>
          <w:sz w:val="28"/>
          <w:szCs w:val="28"/>
        </w:rPr>
        <w:t xml:space="preserve">4.4.6  </w:t>
      </w:r>
      <w:r>
        <w:rPr>
          <w:rFonts w:hint="eastAsia" w:ascii="宋体" w:hAnsi="宋体" w:eastAsia="宋体" w:cs="Times New Roman"/>
          <w:sz w:val="28"/>
          <w:szCs w:val="28"/>
        </w:rPr>
        <w:t>施工</w:t>
      </w:r>
      <w:r>
        <w:rPr>
          <w:rFonts w:hint="eastAsia" w:ascii="宋体" w:hAnsi="宋体" w:eastAsia="宋体"/>
          <w:bCs/>
          <w:sz w:val="28"/>
          <w:szCs w:val="28"/>
        </w:rPr>
        <w:t>阶段的</w:t>
      </w:r>
      <w:r>
        <w:rPr>
          <w:rFonts w:hint="eastAsia" w:ascii="宋体" w:hAnsi="宋体" w:eastAsia="宋体" w:cs="Times New Roman"/>
          <w:sz w:val="28"/>
          <w:szCs w:val="28"/>
        </w:rPr>
        <w:t>风险管理内容包括：</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进行现场检查，验证勘察设计阶段的风险点，对出现的异常情况进行分析；</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了解施工进程，分析气候变化如冬季、高温、雨季施工对工程施工质量的影响；</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了解施工工艺，查阅施工记录，进行现场检查，查验是否存保单责任范围内的潜在缺陷风险；必要时补充检测；</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查阅验收、检测资料，验证建筑材料及构配件的进场质量；</w:t>
      </w:r>
    </w:p>
    <w:p>
      <w:pPr>
        <w:ind w:firstLine="562" w:firstLineChars="200"/>
        <w:rPr>
          <w:rFonts w:ascii="宋体" w:hAnsi="宋体" w:eastAsia="宋体" w:cs="Times New Roman"/>
          <w:sz w:val="28"/>
          <w:szCs w:val="28"/>
        </w:rPr>
      </w:pPr>
      <w:r>
        <w:rPr>
          <w:rFonts w:ascii="宋体" w:hAnsi="宋体" w:eastAsia="宋体" w:cs="Times New Roman"/>
          <w:b/>
          <w:sz w:val="28"/>
          <w:szCs w:val="28"/>
        </w:rPr>
        <w:t>5</w:t>
      </w:r>
      <w:r>
        <w:rPr>
          <w:rFonts w:ascii="宋体" w:hAnsi="宋体" w:eastAsia="宋体" w:cs="Times New Roman"/>
          <w:sz w:val="28"/>
          <w:szCs w:val="28"/>
        </w:rPr>
        <w:t xml:space="preserve">  </w:t>
      </w:r>
      <w:r>
        <w:rPr>
          <w:rFonts w:hint="eastAsia" w:ascii="宋体" w:hAnsi="宋体" w:eastAsia="宋体" w:cs="Times New Roman"/>
          <w:sz w:val="28"/>
          <w:szCs w:val="28"/>
        </w:rPr>
        <w:t xml:space="preserve">检查装配式构件的生产、运输及其他专项工程的施工工艺，对潜在缺陷风险进行分析； </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6</w:t>
      </w:r>
      <w:r>
        <w:rPr>
          <w:rFonts w:ascii="宋体" w:hAnsi="宋体" w:eastAsia="宋体" w:cs="Times New Roman"/>
          <w:sz w:val="28"/>
          <w:szCs w:val="28"/>
        </w:rPr>
        <w:t xml:space="preserve">  </w:t>
      </w:r>
      <w:r>
        <w:rPr>
          <w:rFonts w:hint="eastAsia" w:ascii="宋体" w:hAnsi="宋体" w:eastAsia="宋体" w:cs="Times New Roman"/>
          <w:sz w:val="28"/>
          <w:szCs w:val="28"/>
        </w:rPr>
        <w:t>对关键</w:t>
      </w:r>
      <w:r>
        <w:rPr>
          <w:rFonts w:ascii="宋体" w:hAnsi="宋体" w:eastAsia="宋体" w:cs="Times New Roman"/>
          <w:sz w:val="28"/>
          <w:szCs w:val="28"/>
        </w:rPr>
        <w:t>部位</w:t>
      </w:r>
      <w:r>
        <w:rPr>
          <w:rFonts w:hint="eastAsia" w:ascii="宋体" w:hAnsi="宋体" w:eastAsia="宋体" w:cs="Times New Roman"/>
          <w:sz w:val="28"/>
          <w:szCs w:val="28"/>
        </w:rPr>
        <w:t>、关键工序</w:t>
      </w:r>
      <w:r>
        <w:rPr>
          <w:rFonts w:ascii="宋体" w:hAnsi="宋体" w:eastAsia="宋体" w:cs="Times New Roman"/>
          <w:sz w:val="28"/>
          <w:szCs w:val="28"/>
        </w:rPr>
        <w:t>进行</w:t>
      </w:r>
      <w:r>
        <w:rPr>
          <w:rFonts w:hint="eastAsia" w:ascii="宋体" w:hAnsi="宋体" w:eastAsia="宋体" w:cs="Times New Roman"/>
          <w:sz w:val="28"/>
          <w:szCs w:val="28"/>
        </w:rPr>
        <w:t>检查；</w:t>
      </w:r>
    </w:p>
    <w:p>
      <w:pPr>
        <w:ind w:firstLine="562" w:firstLineChars="200"/>
        <w:rPr>
          <w:rFonts w:ascii="宋体" w:hAnsi="宋体" w:eastAsia="宋体" w:cs="Times New Roman"/>
          <w:sz w:val="28"/>
          <w:szCs w:val="28"/>
        </w:rPr>
      </w:pPr>
      <w:r>
        <w:rPr>
          <w:rFonts w:ascii="宋体" w:hAnsi="宋体" w:eastAsia="宋体" w:cs="Times New Roman"/>
          <w:b/>
          <w:sz w:val="28"/>
          <w:szCs w:val="28"/>
        </w:rPr>
        <w:t>7</w:t>
      </w:r>
      <w:r>
        <w:rPr>
          <w:rFonts w:ascii="宋体" w:hAnsi="宋体" w:eastAsia="宋体" w:cs="Times New Roman"/>
          <w:sz w:val="28"/>
          <w:szCs w:val="28"/>
        </w:rPr>
        <w:t xml:space="preserve">  参加由建设单位组织的竣工验收</w:t>
      </w:r>
      <w:r>
        <w:rPr>
          <w:rFonts w:hint="eastAsia" w:ascii="宋体" w:hAnsi="宋体" w:eastAsia="宋体" w:cs="Times New Roman"/>
          <w:sz w:val="28"/>
          <w:szCs w:val="28"/>
        </w:rPr>
        <w:t xml:space="preserve">。 </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.4.7</w:t>
      </w:r>
      <w:r>
        <w:rPr>
          <w:rFonts w:ascii="宋体" w:hAnsi="宋体" w:eastAsia="宋体"/>
          <w:sz w:val="28"/>
          <w:szCs w:val="28"/>
        </w:rPr>
        <w:t xml:space="preserve">  </w:t>
      </w:r>
      <w:r>
        <w:rPr>
          <w:rFonts w:hint="eastAsia" w:ascii="宋体" w:hAnsi="宋体" w:eastAsia="宋体"/>
          <w:sz w:val="28"/>
          <w:szCs w:val="28"/>
        </w:rPr>
        <w:t>缺陷责任期的</w:t>
      </w:r>
      <w:r>
        <w:rPr>
          <w:rFonts w:hint="eastAsia" w:ascii="宋体" w:hAnsi="宋体" w:eastAsia="宋体" w:cs="Times New Roman"/>
          <w:sz w:val="28"/>
          <w:szCs w:val="28"/>
        </w:rPr>
        <w:t>风险管理包括以下内容</w:t>
      </w:r>
      <w:r>
        <w:rPr>
          <w:rFonts w:hint="eastAsia" w:ascii="宋体" w:hAnsi="宋体" w:eastAsia="宋体"/>
          <w:sz w:val="28"/>
          <w:szCs w:val="28"/>
        </w:rPr>
        <w:t>：</w:t>
      </w:r>
    </w:p>
    <w:p>
      <w:pPr>
        <w:ind w:left="630" w:leftChars="300"/>
        <w:rPr>
          <w:rFonts w:ascii="宋体" w:hAnsi="宋体" w:eastAsia="宋体"/>
          <w:b/>
          <w:sz w:val="28"/>
          <w:szCs w:val="28"/>
        </w:rPr>
      </w:pPr>
      <w:r>
        <w:rPr>
          <w:rFonts w:hint="eastAsia" w:ascii="宋体" w:hAnsi="宋体" w:eastAsia="宋体"/>
          <w:b/>
          <w:sz w:val="28"/>
          <w:szCs w:val="28"/>
        </w:rPr>
        <w:t>1</w:t>
      </w:r>
      <w:r>
        <w:rPr>
          <w:rFonts w:ascii="宋体" w:hAnsi="宋体" w:eastAsia="宋体"/>
          <w:b/>
          <w:sz w:val="28"/>
          <w:szCs w:val="28"/>
        </w:rPr>
        <w:t xml:space="preserve">  </w:t>
      </w:r>
      <w:r>
        <w:rPr>
          <w:rFonts w:hint="eastAsia" w:ascii="宋体" w:hAnsi="宋体" w:eastAsia="宋体"/>
          <w:sz w:val="28"/>
          <w:szCs w:val="28"/>
        </w:rPr>
        <w:t>对前期遗留风险持续跟踪；</w:t>
      </w:r>
    </w:p>
    <w:p>
      <w:pPr>
        <w:ind w:left="630" w:leftChars="300"/>
        <w:rPr>
          <w:rFonts w:ascii="宋体" w:hAnsi="宋体" w:eastAsia="宋体"/>
          <w:b/>
          <w:sz w:val="28"/>
          <w:szCs w:val="28"/>
        </w:rPr>
      </w:pPr>
      <w:r>
        <w:rPr>
          <w:rFonts w:hint="eastAsia" w:ascii="宋体" w:hAnsi="宋体" w:eastAsia="宋体"/>
          <w:b/>
          <w:sz w:val="28"/>
          <w:szCs w:val="28"/>
        </w:rPr>
        <w:t>2</w:t>
      </w:r>
      <w:r>
        <w:rPr>
          <w:rFonts w:ascii="宋体" w:hAnsi="宋体" w:eastAsia="宋体"/>
          <w:b/>
          <w:sz w:val="28"/>
          <w:szCs w:val="28"/>
        </w:rPr>
        <w:t xml:space="preserve">  </w:t>
      </w:r>
      <w:r>
        <w:rPr>
          <w:rFonts w:hint="eastAsia" w:ascii="宋体" w:hAnsi="宋体" w:eastAsia="宋体"/>
          <w:sz w:val="28"/>
          <w:szCs w:val="28"/>
        </w:rPr>
        <w:t>对建筑正常使用状态的验证；</w:t>
      </w:r>
    </w:p>
    <w:p>
      <w:pPr>
        <w:ind w:left="630" w:leftChars="300"/>
        <w:rPr>
          <w:rFonts w:ascii="宋体" w:hAnsi="宋体" w:eastAsia="宋体"/>
          <w:b/>
          <w:sz w:val="28"/>
          <w:szCs w:val="28"/>
        </w:rPr>
      </w:pPr>
      <w:r>
        <w:rPr>
          <w:rFonts w:ascii="宋体" w:hAnsi="宋体" w:eastAsia="宋体"/>
          <w:b/>
          <w:sz w:val="28"/>
          <w:szCs w:val="28"/>
        </w:rPr>
        <w:t xml:space="preserve">3  </w:t>
      </w:r>
      <w:r>
        <w:rPr>
          <w:rFonts w:hint="eastAsia" w:ascii="宋体" w:hAnsi="宋体" w:eastAsia="宋体"/>
          <w:sz w:val="28"/>
          <w:szCs w:val="28"/>
        </w:rPr>
        <w:t>调查使用者关于建筑质量缺陷问题的反馈、投诉等；</w:t>
      </w:r>
    </w:p>
    <w:p>
      <w:pPr>
        <w:ind w:left="630" w:leftChars="300"/>
        <w:rPr>
          <w:rFonts w:ascii="宋体" w:hAnsi="宋体" w:eastAsia="宋体"/>
          <w:sz w:val="28"/>
          <w:szCs w:val="28"/>
        </w:rPr>
      </w:pPr>
      <w:r>
        <w:rPr>
          <w:rFonts w:ascii="宋体" w:hAnsi="宋体" w:eastAsia="宋体"/>
          <w:b/>
          <w:sz w:val="28"/>
          <w:szCs w:val="28"/>
        </w:rPr>
        <w:t xml:space="preserve">4  </w:t>
      </w:r>
      <w:r>
        <w:rPr>
          <w:rFonts w:hint="eastAsia" w:ascii="宋体" w:hAnsi="宋体" w:eastAsia="宋体"/>
          <w:sz w:val="28"/>
          <w:szCs w:val="28"/>
        </w:rPr>
        <w:t>对建筑质量缺陷及其维修记录的调查，识别和分析可能的潜在缺陷风险；</w:t>
      </w:r>
    </w:p>
    <w:p>
      <w:pPr>
        <w:ind w:left="630" w:leftChars="300"/>
        <w:rPr>
          <w:rFonts w:ascii="宋体" w:hAnsi="宋体" w:eastAsia="宋体"/>
          <w:b/>
          <w:sz w:val="28"/>
          <w:szCs w:val="28"/>
        </w:rPr>
      </w:pPr>
      <w:r>
        <w:rPr>
          <w:rFonts w:hint="eastAsia" w:ascii="宋体" w:hAnsi="宋体" w:eastAsia="宋体"/>
          <w:b/>
          <w:sz w:val="28"/>
          <w:szCs w:val="28"/>
        </w:rPr>
        <w:t>5</w:t>
      </w:r>
      <w:r>
        <w:rPr>
          <w:rFonts w:ascii="宋体" w:hAnsi="宋体" w:eastAsia="宋体"/>
          <w:b/>
          <w:sz w:val="28"/>
          <w:szCs w:val="28"/>
        </w:rPr>
        <w:t xml:space="preserve">  </w:t>
      </w:r>
      <w:r>
        <w:rPr>
          <w:rFonts w:hint="eastAsia" w:ascii="宋体" w:hAnsi="宋体" w:eastAsia="宋体"/>
          <w:sz w:val="28"/>
          <w:szCs w:val="28"/>
        </w:rPr>
        <w:t>收集建筑变形的观测数据，分析建筑变形趋势；</w:t>
      </w:r>
    </w:p>
    <w:p>
      <w:pPr>
        <w:ind w:left="630" w:leftChars="300"/>
        <w:rPr>
          <w:rFonts w:ascii="宋体" w:hAnsi="宋体" w:eastAsia="宋体"/>
          <w:sz w:val="28"/>
          <w:szCs w:val="28"/>
        </w:rPr>
      </w:pPr>
      <w:r>
        <w:rPr>
          <w:rFonts w:ascii="宋体" w:hAnsi="宋体" w:eastAsia="宋体"/>
          <w:b/>
          <w:sz w:val="28"/>
          <w:szCs w:val="28"/>
        </w:rPr>
        <w:t xml:space="preserve">6  </w:t>
      </w:r>
      <w:r>
        <w:rPr>
          <w:rFonts w:hint="eastAsia" w:ascii="宋体" w:hAnsi="宋体" w:eastAsia="宋体"/>
          <w:sz w:val="28"/>
          <w:szCs w:val="28"/>
        </w:rPr>
        <w:t>其他为进一步识别风险可能需要进行的检测验证。</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22" w:name="_Toc58848579"/>
      <w:r>
        <w:rPr>
          <w:rFonts w:hint="eastAsia" w:ascii="宋体" w:hAnsi="宋体"/>
        </w:rPr>
        <w:t>5</w:t>
      </w:r>
      <w:r>
        <w:rPr>
          <w:rFonts w:ascii="宋体" w:hAnsi="宋体"/>
        </w:rPr>
        <w:t xml:space="preserve">  </w:t>
      </w:r>
      <w:r>
        <w:rPr>
          <w:rFonts w:hint="eastAsia" w:ascii="宋体" w:hAnsi="宋体"/>
        </w:rPr>
        <w:t>风险评估报告</w:t>
      </w:r>
      <w:bookmarkEnd w:id="22"/>
    </w:p>
    <w:p>
      <w:pPr>
        <w:rPr>
          <w:rFonts w:ascii="宋体" w:hAnsi="宋体" w:eastAsia="宋体"/>
          <w:b/>
          <w:sz w:val="28"/>
          <w:szCs w:val="28"/>
        </w:rPr>
      </w:pPr>
      <w:r>
        <w:rPr>
          <w:rFonts w:ascii="宋体" w:hAnsi="宋体" w:eastAsia="宋体"/>
          <w:b/>
          <w:sz w:val="28"/>
          <w:szCs w:val="28"/>
        </w:rPr>
        <w:t xml:space="preserve">5.0.1  </w:t>
      </w:r>
      <w:r>
        <w:rPr>
          <w:rFonts w:hint="eastAsia" w:ascii="宋体" w:hAnsi="宋体" w:eastAsia="宋体"/>
          <w:sz w:val="28"/>
          <w:szCs w:val="28"/>
        </w:rPr>
        <w:t>建筑工程质量潜在缺陷保险的风险管理应按项目实施进程分阶段、分专业、按保单内容分项出具过程检查报告和风险评估报告。</w:t>
      </w:r>
    </w:p>
    <w:p>
      <w:pPr>
        <w:rPr>
          <w:rFonts w:ascii="宋体" w:hAnsi="宋体" w:eastAsia="宋体"/>
          <w:bCs/>
          <w:sz w:val="28"/>
          <w:szCs w:val="28"/>
        </w:rPr>
      </w:pPr>
      <w:r>
        <w:rPr>
          <w:rFonts w:ascii="宋体" w:hAnsi="宋体" w:eastAsia="宋体"/>
          <w:b/>
          <w:sz w:val="28"/>
          <w:szCs w:val="28"/>
        </w:rPr>
        <w:t>5.0.2</w:t>
      </w:r>
      <w:r>
        <w:rPr>
          <w:rFonts w:ascii="宋体" w:hAnsi="宋体" w:eastAsia="宋体"/>
          <w:sz w:val="28"/>
          <w:szCs w:val="28"/>
        </w:rPr>
        <w:t xml:space="preserve">  </w:t>
      </w:r>
      <w:r>
        <w:rPr>
          <w:rFonts w:hint="eastAsia" w:ascii="宋体" w:hAnsi="宋体" w:eastAsia="宋体"/>
          <w:sz w:val="28"/>
          <w:szCs w:val="28"/>
        </w:rPr>
        <w:t>技术风险管理机构出具的报告不应撤回、变更，确需撤回、变更的需向主承保保险公司</w:t>
      </w:r>
      <w:r>
        <w:rPr>
          <w:rFonts w:hint="eastAsia" w:ascii="宋体" w:hAnsi="宋体" w:eastAsia="宋体"/>
          <w:bCs/>
          <w:sz w:val="28"/>
          <w:szCs w:val="28"/>
        </w:rPr>
        <w:t>提交书面申请并征得同意，批准的申请文件应作为档案文件留档。</w:t>
      </w:r>
    </w:p>
    <w:p>
      <w:pPr>
        <w:rPr>
          <w:rFonts w:ascii="宋体" w:hAnsi="宋体" w:eastAsia="宋体"/>
          <w:bCs/>
          <w:sz w:val="28"/>
          <w:szCs w:val="28"/>
        </w:rPr>
      </w:pPr>
      <w:r>
        <w:rPr>
          <w:rFonts w:ascii="宋体" w:hAnsi="宋体" w:eastAsia="宋体"/>
          <w:b/>
          <w:bCs/>
          <w:sz w:val="28"/>
          <w:szCs w:val="28"/>
        </w:rPr>
        <w:t>5.0.3</w:t>
      </w:r>
      <w:r>
        <w:rPr>
          <w:rFonts w:ascii="宋体" w:hAnsi="宋体" w:eastAsia="宋体"/>
          <w:bCs/>
          <w:sz w:val="28"/>
          <w:szCs w:val="28"/>
        </w:rPr>
        <w:t xml:space="preserve">  </w:t>
      </w:r>
      <w:r>
        <w:rPr>
          <w:rFonts w:hint="eastAsia" w:ascii="宋体" w:hAnsi="宋体" w:eastAsia="宋体"/>
          <w:bCs/>
          <w:sz w:val="28"/>
          <w:szCs w:val="28"/>
        </w:rPr>
        <w:t>风险评估报告体系见表</w:t>
      </w:r>
      <w:r>
        <w:rPr>
          <w:rFonts w:ascii="宋体" w:hAnsi="宋体" w:eastAsia="宋体"/>
          <w:bCs/>
          <w:sz w:val="28"/>
          <w:szCs w:val="28"/>
        </w:rPr>
        <w:t>5.0.3</w:t>
      </w:r>
    </w:p>
    <w:p>
      <w:pPr>
        <w:jc w:val="center"/>
        <w:rPr>
          <w:rFonts w:ascii="宋体" w:hAnsi="宋体" w:eastAsia="宋体"/>
          <w:bCs/>
          <w:sz w:val="28"/>
          <w:szCs w:val="28"/>
        </w:rPr>
      </w:pPr>
      <w:r>
        <w:rPr>
          <w:rFonts w:hint="eastAsia" w:ascii="宋体" w:hAnsi="宋体" w:eastAsia="宋体"/>
          <w:b/>
          <w:bCs/>
          <w:sz w:val="28"/>
          <w:szCs w:val="28"/>
        </w:rPr>
        <w:t>表</w:t>
      </w:r>
      <w:r>
        <w:rPr>
          <w:rFonts w:ascii="宋体" w:hAnsi="宋体" w:eastAsia="宋体"/>
          <w:b/>
          <w:bCs/>
          <w:sz w:val="28"/>
          <w:szCs w:val="28"/>
        </w:rPr>
        <w:t xml:space="preserve">5.0.3  </w:t>
      </w:r>
      <w:r>
        <w:rPr>
          <w:rFonts w:hint="eastAsia" w:ascii="宋体" w:hAnsi="宋体" w:eastAsia="宋体"/>
          <w:bCs/>
          <w:sz w:val="28"/>
          <w:szCs w:val="28"/>
        </w:rPr>
        <w:t>风险评估报告体系</w:t>
      </w:r>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2"/>
        <w:gridCol w:w="60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122" w:type="dxa"/>
            <w:tcMar>
              <w:top w:w="0" w:type="dxa"/>
              <w:bottom w:w="0" w:type="dxa"/>
            </w:tcMar>
          </w:tcPr>
          <w:p>
            <w:pPr>
              <w:jc w:val="center"/>
              <w:rPr>
                <w:rFonts w:ascii="宋体" w:hAnsi="宋体" w:eastAsia="宋体" w:cs="Times New Roman"/>
                <w:b/>
                <w:bCs/>
                <w:sz w:val="24"/>
                <w:szCs w:val="24"/>
              </w:rPr>
            </w:pPr>
            <w:r>
              <w:rPr>
                <w:rFonts w:hint="eastAsia" w:ascii="宋体" w:hAnsi="宋体" w:eastAsia="宋体" w:cs="Times New Roman"/>
                <w:b/>
                <w:bCs/>
                <w:sz w:val="24"/>
                <w:szCs w:val="24"/>
              </w:rPr>
              <w:t>报告编号</w:t>
            </w:r>
          </w:p>
        </w:tc>
        <w:tc>
          <w:tcPr>
            <w:tcW w:w="6095" w:type="dxa"/>
            <w:tcMar>
              <w:top w:w="0" w:type="dxa"/>
              <w:bottom w:w="0" w:type="dxa"/>
            </w:tcMar>
          </w:tcPr>
          <w:p>
            <w:pPr>
              <w:jc w:val="center"/>
              <w:rPr>
                <w:rFonts w:ascii="宋体" w:hAnsi="宋体" w:eastAsia="宋体" w:cs="Times New Roman"/>
                <w:b/>
                <w:bCs/>
                <w:sz w:val="24"/>
                <w:szCs w:val="24"/>
              </w:rPr>
            </w:pPr>
            <w:r>
              <w:rPr>
                <w:rFonts w:hint="eastAsia" w:ascii="宋体" w:hAnsi="宋体" w:eastAsia="宋体" w:cs="Times New Roman"/>
                <w:b/>
                <w:bCs/>
                <w:sz w:val="24"/>
                <w:szCs w:val="24"/>
              </w:rPr>
              <w:t>出具报告明细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RA1.0</w:t>
            </w:r>
          </w:p>
        </w:tc>
        <w:tc>
          <w:tcPr>
            <w:tcW w:w="6095" w:type="dxa"/>
            <w:tcMar>
              <w:top w:w="0" w:type="dxa"/>
              <w:bottom w:w="0" w:type="dxa"/>
            </w:tcMar>
          </w:tcPr>
          <w:p>
            <w:pPr>
              <w:rPr>
                <w:rFonts w:ascii="宋体" w:hAnsi="宋体" w:eastAsia="宋体" w:cs="Times New Roman"/>
                <w:sz w:val="24"/>
                <w:szCs w:val="24"/>
              </w:rPr>
            </w:pPr>
            <w:r>
              <w:rPr>
                <w:rFonts w:hint="eastAsia" w:ascii="宋体" w:hAnsi="宋体" w:eastAsia="宋体" w:cs="Arial"/>
                <w:sz w:val="24"/>
                <w:szCs w:val="24"/>
              </w:rPr>
              <w:t>技术风险</w:t>
            </w:r>
            <w:r>
              <w:rPr>
                <w:rFonts w:ascii="宋体" w:hAnsi="宋体" w:eastAsia="宋体" w:cs="Arial"/>
                <w:sz w:val="24"/>
                <w:szCs w:val="24"/>
              </w:rPr>
              <w:t>初步</w:t>
            </w:r>
            <w:r>
              <w:rPr>
                <w:rFonts w:hint="eastAsia" w:ascii="宋体" w:hAnsi="宋体" w:eastAsia="宋体" w:cs="Arial"/>
                <w:sz w:val="24"/>
                <w:szCs w:val="24"/>
              </w:rPr>
              <w:t>识别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vAlign w:val="center"/>
          </w:tcPr>
          <w:p>
            <w:pPr>
              <w:jc w:val="center"/>
              <w:rPr>
                <w:rFonts w:ascii="宋体" w:hAnsi="宋体" w:eastAsia="宋体" w:cs="Arial"/>
                <w:b/>
                <w:sz w:val="24"/>
                <w:szCs w:val="24"/>
              </w:rPr>
            </w:pPr>
            <w:r>
              <w:rPr>
                <w:rFonts w:hint="eastAsia" w:ascii="宋体" w:hAnsi="宋体" w:eastAsia="宋体" w:cs="Arial"/>
                <w:b/>
                <w:sz w:val="24"/>
                <w:szCs w:val="24"/>
              </w:rPr>
              <w:t>勘察设计阶段的风险评估报告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RA1.1</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场地环境与地基基础工程设计的风险评估报告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RA1.2</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主体结构设计的风险评估报告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RA1.3</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防水保温工程设计的风险评估报告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R</w:t>
            </w:r>
            <w:r>
              <w:rPr>
                <w:rFonts w:ascii="宋体" w:hAnsi="宋体" w:eastAsia="宋体" w:cs="Times New Roman"/>
                <w:kern w:val="0"/>
                <w:sz w:val="24"/>
                <w:szCs w:val="24"/>
              </w:rPr>
              <w:t>A1.4</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安装工程设计的风险评估报告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R</w:t>
            </w:r>
            <w:r>
              <w:rPr>
                <w:rFonts w:ascii="宋体" w:hAnsi="宋体" w:eastAsia="宋体" w:cs="Times New Roman"/>
                <w:kern w:val="0"/>
                <w:sz w:val="24"/>
                <w:szCs w:val="24"/>
              </w:rPr>
              <w:t>A1.5</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装饰工程设计的风险评估报告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bCs/>
                <w:sz w:val="24"/>
                <w:szCs w:val="24"/>
              </w:rPr>
            </w:pPr>
            <w:r>
              <w:rPr>
                <w:rFonts w:hint="eastAsia" w:ascii="宋体" w:hAnsi="宋体" w:eastAsia="宋体" w:cs="Arial"/>
                <w:b/>
                <w:bCs/>
                <w:sz w:val="24"/>
                <w:szCs w:val="24"/>
              </w:rPr>
              <w:t>专项工程技术风险分析报告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RA2.1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创新体系的风险评估报告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RA2.2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不良地质条件下基础设计的风险评估报告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RA2.3</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装配式结构设计的风险评估报告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RA2.4</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幕墙工程设计的风险评估报告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bCs/>
                <w:sz w:val="24"/>
                <w:szCs w:val="24"/>
              </w:rPr>
            </w:pPr>
            <w:r>
              <w:rPr>
                <w:rFonts w:hint="eastAsia" w:ascii="宋体" w:hAnsi="宋体" w:eastAsia="宋体" w:cs="Arial"/>
                <w:b/>
                <w:bCs/>
                <w:sz w:val="24"/>
                <w:szCs w:val="24"/>
              </w:rPr>
              <w:t>施工过程的风险影响分析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RA3.1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地基基础工程施工对工程质量的影响分析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主体结构工程施工对工程质量的影响分析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RA3.3</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防水保温工程施工对工程质量的影响分析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RA3.4</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安装工程施工对工程质量的影响分析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RA3.5</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装饰工程施工对工程质量的影响分析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sz w:val="24"/>
                <w:szCs w:val="24"/>
              </w:rPr>
            </w:pPr>
            <w:r>
              <w:rPr>
                <w:rFonts w:hint="eastAsia" w:ascii="宋体" w:hAnsi="宋体" w:eastAsia="宋体" w:cs="Arial"/>
                <w:b/>
                <w:bCs/>
                <w:sz w:val="24"/>
                <w:szCs w:val="24"/>
              </w:rPr>
              <w:t>竣工风险总体评估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RA4.1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质量缺陷风险总体评估报告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RA4.2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质量缺陷风险清单汇总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vAlign w:val="center"/>
          </w:tcPr>
          <w:p>
            <w:pPr>
              <w:jc w:val="center"/>
              <w:rPr>
                <w:rFonts w:ascii="宋体" w:hAnsi="宋体" w:eastAsia="宋体" w:cs="Arial"/>
                <w:b/>
                <w:sz w:val="24"/>
                <w:szCs w:val="24"/>
              </w:rPr>
            </w:pPr>
            <w:r>
              <w:rPr>
                <w:rFonts w:hint="eastAsia" w:ascii="宋体" w:hAnsi="宋体" w:eastAsia="宋体" w:cs="Arial"/>
                <w:b/>
                <w:sz w:val="24"/>
                <w:szCs w:val="24"/>
              </w:rPr>
              <w:t>缺陷责任期复查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RA5</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复查风险评估报告</w:t>
            </w:r>
          </w:p>
        </w:tc>
      </w:tr>
    </w:tbl>
    <w:p>
      <w:pPr>
        <w:widowControl/>
        <w:jc w:val="left"/>
        <w:rPr>
          <w:rFonts w:ascii="宋体" w:hAnsi="宋体" w:eastAsia="宋体"/>
          <w:b/>
          <w:sz w:val="28"/>
          <w:szCs w:val="28"/>
        </w:rPr>
      </w:pPr>
      <w:r>
        <w:rPr>
          <w:rFonts w:ascii="宋体" w:hAnsi="宋体"/>
          <w:bCs/>
          <w:szCs w:val="28"/>
        </w:rPr>
        <w:br w:type="page"/>
      </w:r>
    </w:p>
    <w:p>
      <w:pPr>
        <w:pStyle w:val="2"/>
        <w:rPr>
          <w:rFonts w:ascii="宋体" w:hAnsi="宋体"/>
        </w:rPr>
      </w:pPr>
      <w:bookmarkStart w:id="23" w:name="_Toc58848580"/>
      <w:r>
        <w:rPr>
          <w:rFonts w:hint="eastAsia" w:ascii="宋体" w:hAnsi="宋体"/>
        </w:rPr>
        <w:t>6</w:t>
      </w:r>
      <w:r>
        <w:rPr>
          <w:rFonts w:ascii="宋体" w:hAnsi="宋体"/>
        </w:rPr>
        <w:t xml:space="preserve">  </w:t>
      </w:r>
      <w:r>
        <w:rPr>
          <w:rFonts w:hint="eastAsia" w:ascii="宋体" w:hAnsi="宋体"/>
        </w:rPr>
        <w:t>档案管理</w:t>
      </w:r>
      <w:bookmarkEnd w:id="23"/>
    </w:p>
    <w:p>
      <w:pPr>
        <w:rPr>
          <w:rFonts w:ascii="宋体" w:hAnsi="宋体" w:eastAsia="宋体"/>
          <w:sz w:val="28"/>
          <w:szCs w:val="28"/>
        </w:rPr>
      </w:pPr>
      <w:r>
        <w:rPr>
          <w:rFonts w:ascii="宋体" w:hAnsi="宋体" w:eastAsia="宋体"/>
          <w:b/>
          <w:sz w:val="28"/>
          <w:szCs w:val="28"/>
        </w:rPr>
        <w:t>6.0.1</w:t>
      </w:r>
      <w:r>
        <w:rPr>
          <w:rFonts w:ascii="宋体" w:hAnsi="宋体" w:eastAsia="宋体"/>
          <w:sz w:val="28"/>
          <w:szCs w:val="28"/>
        </w:rPr>
        <w:t xml:space="preserve">  </w:t>
      </w:r>
      <w:r>
        <w:rPr>
          <w:rFonts w:hint="eastAsia" w:ascii="宋体" w:hAnsi="宋体" w:eastAsia="宋体"/>
          <w:sz w:val="28"/>
          <w:szCs w:val="28"/>
        </w:rPr>
        <w:t>档案管理包括实体文档管理和电子文档管理；提倡采用电子文档管理。</w:t>
      </w:r>
    </w:p>
    <w:p>
      <w:pPr>
        <w:rPr>
          <w:rFonts w:ascii="宋体" w:hAnsi="宋体" w:eastAsia="宋体"/>
          <w:sz w:val="28"/>
          <w:szCs w:val="28"/>
        </w:rPr>
      </w:pPr>
      <w:r>
        <w:rPr>
          <w:rFonts w:ascii="宋体" w:hAnsi="宋体" w:eastAsia="宋体"/>
          <w:b/>
          <w:sz w:val="28"/>
          <w:szCs w:val="28"/>
        </w:rPr>
        <w:t>6.0.2</w:t>
      </w:r>
      <w:r>
        <w:rPr>
          <w:rFonts w:ascii="宋体" w:hAnsi="宋体" w:eastAsia="宋体"/>
          <w:sz w:val="28"/>
          <w:szCs w:val="28"/>
        </w:rPr>
        <w:t xml:space="preserve">  </w:t>
      </w:r>
      <w:r>
        <w:rPr>
          <w:rFonts w:hint="eastAsia" w:ascii="宋体" w:hAnsi="宋体" w:eastAsia="宋体"/>
          <w:sz w:val="28"/>
          <w:szCs w:val="28"/>
        </w:rPr>
        <w:t>实体文档管理应装订成册并按类型立卷，填好案卷目录。</w:t>
      </w:r>
    </w:p>
    <w:p>
      <w:pPr>
        <w:rPr>
          <w:rFonts w:ascii="宋体" w:hAnsi="宋体" w:eastAsia="宋体"/>
          <w:sz w:val="28"/>
          <w:szCs w:val="28"/>
        </w:rPr>
      </w:pPr>
      <w:r>
        <w:rPr>
          <w:rFonts w:ascii="宋体" w:hAnsi="宋体" w:eastAsia="宋体"/>
          <w:b/>
          <w:sz w:val="28"/>
          <w:szCs w:val="28"/>
        </w:rPr>
        <w:t>6.0.3</w:t>
      </w:r>
      <w:r>
        <w:rPr>
          <w:rFonts w:ascii="宋体" w:hAnsi="宋体" w:eastAsia="宋体"/>
          <w:sz w:val="28"/>
          <w:szCs w:val="28"/>
        </w:rPr>
        <w:t xml:space="preserve">  </w:t>
      </w:r>
      <w:r>
        <w:rPr>
          <w:rFonts w:hint="eastAsia" w:ascii="宋体" w:hAnsi="宋体" w:eastAsia="宋体"/>
          <w:sz w:val="28"/>
          <w:szCs w:val="28"/>
        </w:rPr>
        <w:t>电子文档管理应目录清晰、格式统一；特殊格式的电子文档应有相应的读取软件及说明文件保存；项目结束后，应物理归档，并设置机读目录。</w:t>
      </w:r>
    </w:p>
    <w:p>
      <w:pPr>
        <w:widowControl/>
        <w:jc w:val="left"/>
        <w:rPr>
          <w:rFonts w:ascii="宋体" w:hAnsi="宋体" w:eastAsia="宋体"/>
          <w:sz w:val="28"/>
          <w:szCs w:val="28"/>
        </w:rPr>
      </w:pPr>
      <w:r>
        <w:rPr>
          <w:rFonts w:ascii="宋体" w:hAnsi="宋体" w:eastAsia="宋体"/>
          <w:b/>
          <w:sz w:val="28"/>
          <w:szCs w:val="28"/>
        </w:rPr>
        <w:t>6.0.4</w:t>
      </w:r>
      <w:r>
        <w:rPr>
          <w:rFonts w:ascii="宋体" w:hAnsi="宋体" w:eastAsia="宋体"/>
          <w:sz w:val="28"/>
          <w:szCs w:val="28"/>
        </w:rPr>
        <w:t xml:space="preserve">  </w:t>
      </w:r>
      <w:r>
        <w:rPr>
          <w:rFonts w:hint="eastAsia" w:ascii="宋体" w:hAnsi="宋体" w:eastAsia="宋体"/>
          <w:sz w:val="28"/>
          <w:szCs w:val="28"/>
        </w:rPr>
        <w:t>档案管理的保存期限不少于保险责任期限另加两年时间，档案销毁前应报保险公司核准。</w:t>
      </w:r>
    </w:p>
    <w:p>
      <w:pPr>
        <w:pStyle w:val="29"/>
        <w:widowControl/>
        <w:numPr>
          <w:ilvl w:val="2"/>
          <w:numId w:val="2"/>
        </w:numPr>
        <w:ind w:firstLineChars="0"/>
        <w:jc w:val="left"/>
        <w:rPr>
          <w:rFonts w:ascii="宋体" w:hAnsi="宋体" w:eastAsia="宋体"/>
          <w:bCs/>
        </w:rPr>
      </w:pPr>
      <w:r>
        <w:rPr>
          <w:rFonts w:ascii="宋体" w:hAnsi="宋体" w:eastAsia="宋体"/>
          <w:sz w:val="28"/>
          <w:szCs w:val="28"/>
        </w:rPr>
        <w:t xml:space="preserve"> </w:t>
      </w:r>
      <w:r>
        <w:rPr>
          <w:rFonts w:hint="eastAsia" w:ascii="宋体" w:hAnsi="宋体" w:eastAsia="宋体"/>
          <w:sz w:val="28"/>
          <w:szCs w:val="28"/>
        </w:rPr>
        <w:t>需要归档的文件应包括但不限于以下内容：</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1</w:t>
      </w:r>
      <w:r>
        <w:rPr>
          <w:rFonts w:hint="eastAsia" w:ascii="宋体" w:hAnsi="宋体" w:eastAsia="宋体"/>
          <w:sz w:val="28"/>
          <w:szCs w:val="28"/>
        </w:rPr>
        <w:t xml:space="preserve"> 合同文件；</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2</w:t>
      </w:r>
      <w:r>
        <w:rPr>
          <w:rFonts w:hint="eastAsia" w:ascii="宋体" w:hAnsi="宋体" w:eastAsia="宋体"/>
          <w:sz w:val="28"/>
          <w:szCs w:val="28"/>
        </w:rPr>
        <w:t xml:space="preserve"> 技术风险管理服务计划；</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3</w:t>
      </w:r>
      <w:r>
        <w:rPr>
          <w:rFonts w:ascii="宋体" w:hAnsi="宋体" w:eastAsia="宋体"/>
          <w:sz w:val="28"/>
          <w:szCs w:val="28"/>
        </w:rPr>
        <w:t xml:space="preserve"> </w:t>
      </w:r>
      <w:r>
        <w:rPr>
          <w:rFonts w:hint="eastAsia" w:ascii="宋体" w:hAnsi="宋体" w:eastAsia="宋体"/>
          <w:sz w:val="28"/>
          <w:szCs w:val="28"/>
        </w:rPr>
        <w:t>内部作业的风险分析资料；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4</w:t>
      </w:r>
      <w:r>
        <w:rPr>
          <w:rFonts w:ascii="宋体" w:hAnsi="宋体" w:eastAsia="宋体"/>
          <w:sz w:val="28"/>
          <w:szCs w:val="28"/>
        </w:rPr>
        <w:t xml:space="preserve"> </w:t>
      </w:r>
      <w:r>
        <w:rPr>
          <w:rFonts w:hint="eastAsia" w:ascii="宋体" w:hAnsi="宋体" w:eastAsia="宋体"/>
          <w:sz w:val="28"/>
          <w:szCs w:val="28"/>
        </w:rPr>
        <w:t>外部沟通协调资料（会议纪要、质量缺陷风险回复单、专题技术风险分析等）；</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5</w:t>
      </w:r>
      <w:r>
        <w:rPr>
          <w:rFonts w:ascii="宋体" w:hAnsi="宋体" w:eastAsia="宋体"/>
          <w:sz w:val="28"/>
          <w:szCs w:val="28"/>
        </w:rPr>
        <w:t xml:space="preserve"> </w:t>
      </w:r>
      <w:r>
        <w:rPr>
          <w:rFonts w:hint="eastAsia" w:ascii="宋体" w:hAnsi="宋体" w:eastAsia="宋体"/>
          <w:sz w:val="28"/>
          <w:szCs w:val="28"/>
        </w:rPr>
        <w:t>过程检查中风险验证所需的质量检测资料；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6</w:t>
      </w:r>
      <w:r>
        <w:rPr>
          <w:rFonts w:ascii="宋体" w:hAnsi="宋体" w:eastAsia="宋体"/>
          <w:sz w:val="28"/>
          <w:szCs w:val="28"/>
        </w:rPr>
        <w:t xml:space="preserve"> </w:t>
      </w:r>
      <w:r>
        <w:rPr>
          <w:rFonts w:hint="eastAsia" w:ascii="宋体" w:hAnsi="宋体" w:eastAsia="宋体"/>
          <w:sz w:val="28"/>
          <w:szCs w:val="28"/>
        </w:rPr>
        <w:t>现场查勘的影像资料；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7</w:t>
      </w:r>
      <w:r>
        <w:rPr>
          <w:rFonts w:ascii="宋体" w:hAnsi="宋体" w:eastAsia="宋体"/>
          <w:sz w:val="28"/>
          <w:szCs w:val="28"/>
        </w:rPr>
        <w:t xml:space="preserve"> </w:t>
      </w:r>
      <w:r>
        <w:rPr>
          <w:rFonts w:hint="eastAsia" w:ascii="宋体" w:hAnsi="宋体" w:eastAsia="宋体"/>
          <w:sz w:val="28"/>
          <w:szCs w:val="28"/>
        </w:rPr>
        <w:t>过程检查报告；</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8</w:t>
      </w:r>
      <w:r>
        <w:rPr>
          <w:rFonts w:ascii="宋体" w:hAnsi="宋体" w:eastAsia="宋体"/>
          <w:sz w:val="28"/>
          <w:szCs w:val="28"/>
        </w:rPr>
        <w:t xml:space="preserve"> </w:t>
      </w:r>
      <w:r>
        <w:rPr>
          <w:rFonts w:hint="eastAsia" w:ascii="宋体" w:hAnsi="宋体" w:eastAsia="宋体"/>
          <w:sz w:val="28"/>
          <w:szCs w:val="28"/>
        </w:rPr>
        <w:t>风险评估报告；</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9</w:t>
      </w:r>
      <w:r>
        <w:rPr>
          <w:rFonts w:ascii="宋体" w:hAnsi="宋体" w:eastAsia="宋体"/>
          <w:sz w:val="28"/>
          <w:szCs w:val="28"/>
        </w:rPr>
        <w:t xml:space="preserve"> </w:t>
      </w:r>
      <w:r>
        <w:rPr>
          <w:rFonts w:hint="eastAsia" w:ascii="宋体" w:hAnsi="宋体" w:eastAsia="宋体"/>
          <w:sz w:val="28"/>
          <w:szCs w:val="28"/>
        </w:rPr>
        <w:t>缺陷风险清单；</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1</w:t>
      </w:r>
      <w:r>
        <w:rPr>
          <w:rFonts w:ascii="宋体" w:hAnsi="宋体" w:eastAsia="宋体"/>
          <w:b/>
          <w:sz w:val="28"/>
          <w:szCs w:val="28"/>
        </w:rPr>
        <w:t>0</w:t>
      </w:r>
      <w:r>
        <w:rPr>
          <w:rFonts w:ascii="宋体" w:hAnsi="宋体" w:eastAsia="宋体"/>
          <w:sz w:val="28"/>
          <w:szCs w:val="28"/>
        </w:rPr>
        <w:t xml:space="preserve"> </w:t>
      </w:r>
      <w:r>
        <w:rPr>
          <w:rFonts w:hint="eastAsia" w:ascii="宋体" w:hAnsi="宋体" w:eastAsia="宋体"/>
          <w:sz w:val="28"/>
          <w:szCs w:val="28"/>
        </w:rPr>
        <w:t>缺陷责任期的物业维修及质量投诉记录；</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11</w:t>
      </w:r>
      <w:r>
        <w:rPr>
          <w:rFonts w:ascii="宋体" w:hAnsi="宋体" w:eastAsia="宋体"/>
          <w:sz w:val="28"/>
          <w:szCs w:val="28"/>
        </w:rPr>
        <w:t xml:space="preserve"> </w:t>
      </w:r>
      <w:r>
        <w:rPr>
          <w:rFonts w:hint="eastAsia" w:ascii="宋体" w:hAnsi="宋体" w:eastAsia="宋体"/>
          <w:sz w:val="28"/>
          <w:szCs w:val="28"/>
        </w:rPr>
        <w:t>其他收集到的项目信息和资料文件。</w:t>
      </w:r>
    </w:p>
    <w:p>
      <w:pPr>
        <w:widowControl/>
        <w:jc w:val="left"/>
        <w:rPr>
          <w:rFonts w:ascii="宋体" w:hAnsi="宋体" w:eastAsia="宋体"/>
          <w:sz w:val="28"/>
          <w:szCs w:val="28"/>
        </w:rPr>
      </w:pPr>
      <w:r>
        <w:rPr>
          <w:rFonts w:ascii="宋体" w:hAnsi="宋体" w:eastAsia="宋体"/>
          <w:b/>
          <w:sz w:val="28"/>
          <w:szCs w:val="28"/>
        </w:rPr>
        <w:t xml:space="preserve">6.0.6  </w:t>
      </w:r>
      <w:r>
        <w:rPr>
          <w:rFonts w:hint="eastAsia" w:ascii="宋体" w:hAnsi="宋体" w:eastAsia="宋体"/>
          <w:sz w:val="28"/>
          <w:szCs w:val="28"/>
        </w:rPr>
        <w:t>保险公司或政府部门有信息化平台管理要求时，风险管理机构应按要求及时将相关资料文档上传。</w:t>
      </w:r>
    </w:p>
    <w:p>
      <w:pPr>
        <w:widowControl/>
        <w:numPr>
          <w:ilvl w:val="0"/>
          <w:numId w:val="3"/>
        </w:numPr>
        <w:tabs>
          <w:tab w:val="left" w:pos="220"/>
          <w:tab w:val="left" w:pos="720"/>
        </w:tabs>
        <w:autoSpaceDE w:val="0"/>
        <w:autoSpaceDN w:val="0"/>
        <w:adjustRightInd w:val="0"/>
        <w:ind w:left="995" w:leftChars="474"/>
        <w:contextualSpacing/>
        <w:jc w:val="left"/>
        <w:rPr>
          <w:rFonts w:ascii="宋体" w:hAnsi="宋体" w:eastAsia="宋体"/>
          <w:sz w:val="28"/>
          <w:szCs w:val="28"/>
        </w:rPr>
      </w:pPr>
      <w:r>
        <w:rPr>
          <w:rFonts w:ascii="宋体" w:hAnsi="宋体" w:eastAsia="宋体"/>
          <w:sz w:val="28"/>
          <w:szCs w:val="28"/>
        </w:rPr>
        <w:br w:type="page"/>
      </w:r>
    </w:p>
    <w:p>
      <w:pPr>
        <w:pStyle w:val="3"/>
        <w:rPr>
          <w:rFonts w:ascii="宋体" w:hAnsi="宋体"/>
        </w:rPr>
      </w:pPr>
      <w:bookmarkStart w:id="24" w:name="_Toc58848581"/>
      <w:r>
        <w:rPr>
          <w:rFonts w:hint="eastAsia" w:ascii="宋体" w:hAnsi="宋体"/>
        </w:rPr>
        <w:t>附录</w:t>
      </w:r>
      <w:r>
        <w:rPr>
          <w:rFonts w:ascii="宋体" w:hAnsi="宋体"/>
        </w:rPr>
        <w:t xml:space="preserve">A  </w:t>
      </w:r>
      <w:r>
        <w:rPr>
          <w:rFonts w:hint="eastAsia" w:ascii="宋体" w:hAnsi="宋体"/>
        </w:rPr>
        <w:t>工程质量风险管理服务授权书</w:t>
      </w:r>
      <w:bookmarkEnd w:id="24"/>
    </w:p>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tcPr>
          <w:p>
            <w:pPr>
              <w:jc w:val="center"/>
              <w:rPr>
                <w:rFonts w:ascii="宋体" w:hAnsi="宋体" w:eastAsia="宋体" w:cs="Times New Roman"/>
                <w:kern w:val="0"/>
                <w:sz w:val="28"/>
                <w:szCs w:val="28"/>
              </w:rPr>
            </w:pPr>
          </w:p>
          <w:p>
            <w:pPr>
              <w:jc w:val="center"/>
              <w:rPr>
                <w:rFonts w:ascii="宋体" w:hAnsi="宋体" w:eastAsia="宋体" w:cs="Times New Roman"/>
                <w:kern w:val="0"/>
                <w:sz w:val="32"/>
                <w:szCs w:val="32"/>
              </w:rPr>
            </w:pPr>
            <w:r>
              <w:rPr>
                <w:rFonts w:hint="eastAsia" w:ascii="宋体" w:hAnsi="宋体" w:eastAsia="宋体" w:cs="Times New Roman"/>
                <w:kern w:val="0"/>
                <w:sz w:val="32"/>
                <w:szCs w:val="32"/>
              </w:rPr>
              <w:t>工程质量风险管理服务授权书</w:t>
            </w:r>
          </w:p>
          <w:p>
            <w:pPr>
              <w:rPr>
                <w:rFonts w:ascii="Times New Roman" w:hAnsi="Times New Roman" w:eastAsia="宋体" w:cs="Times New Roman"/>
                <w:kern w:val="0"/>
                <w:sz w:val="28"/>
                <w:szCs w:val="28"/>
              </w:rPr>
            </w:pPr>
          </w:p>
          <w:p>
            <w:pPr>
              <w:rPr>
                <w:rFonts w:ascii="Times New Roman" w:hAnsi="Times New Roman" w:eastAsia="宋体" w:cs="Times New Roman"/>
                <w:kern w:val="0"/>
                <w:sz w:val="28"/>
                <w:szCs w:val="28"/>
              </w:rPr>
            </w:pPr>
          </w:p>
          <w:p>
            <w:pPr>
              <w:spacing w:line="0" w:lineRule="atLeast"/>
              <w:rPr>
                <w:rFonts w:ascii="宋体" w:hAnsi="宋体" w:eastAsia="宋体" w:cs="Times New Roman"/>
                <w:bCs/>
                <w:kern w:val="0"/>
                <w:sz w:val="28"/>
                <w:szCs w:val="28"/>
              </w:rPr>
            </w:pPr>
            <w:r>
              <w:rPr>
                <w:rFonts w:ascii="宋体" w:hAnsi="宋体" w:eastAsia="宋体" w:cs="Times New Roman"/>
                <w:bCs/>
                <w:kern w:val="0"/>
                <w:sz w:val="28"/>
                <w:szCs w:val="28"/>
              </w:rPr>
              <w:t>XXXX</w:t>
            </w:r>
            <w:r>
              <w:rPr>
                <w:rFonts w:hint="eastAsia" w:ascii="宋体" w:hAnsi="宋体" w:eastAsia="宋体" w:cs="Times New Roman"/>
                <w:bCs/>
                <w:kern w:val="0"/>
                <w:sz w:val="28"/>
                <w:szCs w:val="28"/>
              </w:rPr>
              <w:t>公司：</w:t>
            </w:r>
          </w:p>
          <w:p>
            <w:pPr>
              <w:rPr>
                <w:rFonts w:ascii="Times New Roman" w:hAnsi="Times New Roman" w:eastAsia="宋体" w:cs="Times New Roman"/>
                <w:kern w:val="0"/>
                <w:sz w:val="28"/>
                <w:szCs w:val="28"/>
              </w:rPr>
            </w:pPr>
          </w:p>
          <w:p>
            <w:pPr>
              <w:widowControl/>
              <w:shd w:val="clear" w:color="auto" w:fill="FFFFFF"/>
              <w:spacing w:after="375" w:line="360" w:lineRule="auto"/>
              <w:ind w:firstLine="375"/>
              <w:jc w:val="left"/>
              <w:rPr>
                <w:rFonts w:ascii="宋体" w:hAnsi="宋体" w:eastAsia="微软雅黑" w:cs="宋体"/>
                <w:color w:val="444444"/>
                <w:kern w:val="0"/>
                <w:sz w:val="24"/>
                <w:szCs w:val="24"/>
              </w:rPr>
            </w:pPr>
            <w:r>
              <w:rPr>
                <w:rFonts w:hint="eastAsia" w:ascii="宋体" w:hAnsi="宋体" w:eastAsia="宋体" w:cs="Times New Roman"/>
                <w:bCs/>
                <w:kern w:val="0"/>
                <w:sz w:val="28"/>
                <w:szCs w:val="28"/>
              </w:rPr>
              <w:t>本公司现授权你单位，自_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年</w:t>
            </w:r>
            <w:r>
              <w:rPr>
                <w:rFonts w:ascii="宋体" w:hAnsi="宋体" w:eastAsia="宋体" w:cs="Times New Roman"/>
                <w:bCs/>
                <w:kern w:val="0"/>
                <w:sz w:val="28"/>
                <w:szCs w:val="28"/>
              </w:rPr>
              <w:t>___</w:t>
            </w:r>
            <w:r>
              <w:rPr>
                <w:rFonts w:hint="eastAsia" w:ascii="宋体" w:hAnsi="宋体" w:eastAsia="宋体" w:cs="Times New Roman"/>
                <w:bCs/>
                <w:kern w:val="0"/>
                <w:sz w:val="28"/>
                <w:szCs w:val="28"/>
              </w:rPr>
              <w:t>月_</w:t>
            </w:r>
            <w:r>
              <w:rPr>
                <w:rFonts w:ascii="宋体" w:hAnsi="宋体" w:eastAsia="宋体" w:cs="Times New Roman"/>
                <w:bCs/>
                <w:kern w:val="0"/>
                <w:sz w:val="28"/>
                <w:szCs w:val="28"/>
              </w:rPr>
              <w:t>__</w:t>
            </w:r>
            <w:r>
              <w:rPr>
                <w:rFonts w:hint="eastAsia" w:ascii="宋体" w:hAnsi="宋体" w:eastAsia="宋体" w:cs="Times New Roman"/>
                <w:bCs/>
                <w:kern w:val="0"/>
                <w:sz w:val="28"/>
                <w:szCs w:val="28"/>
              </w:rPr>
              <w:t>日起，就_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项目（保单号：_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）实施工程质量潜在缺陷风险管理，按照有关规定，开展风险管理过程检查工作。</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r>
              <w:rPr>
                <w:rFonts w:ascii="宋体" w:hAnsi="宋体" w:eastAsia="宋体" w:cs="Times New Roman"/>
                <w:bCs/>
                <w:kern w:val="0"/>
                <w:sz w:val="28"/>
                <w:szCs w:val="28"/>
              </w:rPr>
              <w:t>特此授权。</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3640" w:firstLineChars="1300"/>
              <w:rPr>
                <w:rFonts w:ascii="宋体" w:hAnsi="宋体" w:eastAsia="宋体" w:cs="Times New Roman"/>
                <w:bCs/>
                <w:kern w:val="0"/>
                <w:sz w:val="28"/>
                <w:szCs w:val="28"/>
              </w:rPr>
            </w:pPr>
            <w:r>
              <w:rPr>
                <w:rFonts w:hint="eastAsia" w:ascii="宋体" w:hAnsi="宋体" w:eastAsia="宋体" w:cs="Times New Roman"/>
                <w:bCs/>
                <w:kern w:val="0"/>
                <w:sz w:val="28"/>
                <w:szCs w:val="28"/>
              </w:rPr>
              <w:t>保险公司</w:t>
            </w:r>
            <w:r>
              <w:rPr>
                <w:rFonts w:ascii="宋体" w:hAnsi="宋体" w:eastAsia="宋体" w:cs="Times New Roman"/>
                <w:bCs/>
                <w:kern w:val="0"/>
                <w:sz w:val="28"/>
                <w:szCs w:val="28"/>
              </w:rPr>
              <w:t>(公章)：</w:t>
            </w:r>
          </w:p>
          <w:p>
            <w:pPr>
              <w:spacing w:line="0" w:lineRule="atLeast"/>
              <w:ind w:firstLine="3640" w:firstLineChars="1300"/>
              <w:rPr>
                <w:rFonts w:ascii="宋体" w:hAnsi="宋体" w:eastAsia="宋体" w:cs="Times New Roman"/>
                <w:bCs/>
                <w:kern w:val="0"/>
                <w:sz w:val="28"/>
                <w:szCs w:val="28"/>
              </w:rPr>
            </w:pPr>
            <w:r>
              <w:rPr>
                <w:rFonts w:hint="eastAsia" w:ascii="宋体" w:hAnsi="宋体" w:eastAsia="宋体" w:cs="Times New Roman"/>
                <w:bCs/>
                <w:kern w:val="0"/>
                <w:sz w:val="28"/>
                <w:szCs w:val="28"/>
              </w:rPr>
              <w:t>建设单位</w:t>
            </w:r>
            <w:r>
              <w:rPr>
                <w:rFonts w:ascii="宋体" w:hAnsi="宋体" w:eastAsia="宋体" w:cs="Times New Roman"/>
                <w:bCs/>
                <w:kern w:val="0"/>
                <w:sz w:val="28"/>
                <w:szCs w:val="28"/>
              </w:rPr>
              <w:t>(公章)：</w:t>
            </w:r>
          </w:p>
          <w:p>
            <w:pPr>
              <w:spacing w:line="0" w:lineRule="atLeast"/>
              <w:ind w:firstLine="3640" w:firstLineChars="13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4480" w:firstLineChars="1600"/>
              <w:rPr>
                <w:rFonts w:ascii="宋体" w:hAnsi="宋体" w:eastAsia="宋体" w:cs="Times New Roman"/>
                <w:bCs/>
                <w:kern w:val="0"/>
                <w:sz w:val="28"/>
                <w:szCs w:val="28"/>
              </w:rPr>
            </w:pPr>
            <w:r>
              <w:rPr>
                <w:rFonts w:ascii="宋体" w:hAnsi="宋体" w:eastAsia="宋体" w:cs="Times New Roman"/>
                <w:bCs/>
                <w:kern w:val="0"/>
                <w:sz w:val="28"/>
                <w:szCs w:val="28"/>
              </w:rPr>
              <w:t>年</w:t>
            </w:r>
            <w:r>
              <w:rPr>
                <w:rFonts w:ascii="宋体" w:hAnsi="宋体" w:eastAsia="宋体" w:cs="Times New Roman"/>
                <w:bCs/>
                <w:kern w:val="0"/>
                <w:sz w:val="28"/>
                <w:szCs w:val="28"/>
              </w:rPr>
              <w:tab/>
            </w:r>
            <w:r>
              <w:rPr>
                <w:rFonts w:ascii="宋体" w:hAnsi="宋体" w:eastAsia="宋体" w:cs="Times New Roman"/>
                <w:bCs/>
                <w:kern w:val="0"/>
                <w:sz w:val="28"/>
                <w:szCs w:val="28"/>
              </w:rPr>
              <w:t>月</w:t>
            </w:r>
            <w:r>
              <w:rPr>
                <w:rFonts w:ascii="宋体" w:hAnsi="宋体" w:eastAsia="宋体" w:cs="Times New Roman"/>
                <w:bCs/>
                <w:kern w:val="0"/>
                <w:sz w:val="28"/>
                <w:szCs w:val="28"/>
              </w:rPr>
              <w:tab/>
            </w:r>
            <w:r>
              <w:rPr>
                <w:rFonts w:ascii="宋体" w:hAnsi="宋体" w:eastAsia="宋体" w:cs="Times New Roman"/>
                <w:bCs/>
                <w:kern w:val="0"/>
                <w:sz w:val="28"/>
                <w:szCs w:val="28"/>
              </w:rPr>
              <w:t>日</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rPr>
                <w:rFonts w:ascii="Times New Roman" w:hAnsi="Times New Roman" w:eastAsia="宋体" w:cs="Times New Roman"/>
                <w:kern w:val="0"/>
                <w:sz w:val="28"/>
                <w:szCs w:val="28"/>
              </w:rPr>
            </w:pPr>
          </w:p>
        </w:tc>
      </w:tr>
    </w:tbl>
    <w:p>
      <w:pPr>
        <w:widowControl/>
        <w:jc w:val="left"/>
      </w:pPr>
      <w:r>
        <w:br w:type="page"/>
      </w:r>
    </w:p>
    <w:p>
      <w:pPr>
        <w:pStyle w:val="3"/>
        <w:rPr>
          <w:rFonts w:ascii="宋体" w:hAnsi="宋体"/>
        </w:rPr>
      </w:pPr>
      <w:bookmarkStart w:id="25" w:name="_Toc58848582"/>
      <w:r>
        <w:rPr>
          <w:rFonts w:hint="eastAsia" w:ascii="宋体" w:hAnsi="宋体"/>
        </w:rPr>
        <w:t>附录</w:t>
      </w:r>
      <w:r>
        <w:rPr>
          <w:rFonts w:ascii="宋体" w:hAnsi="宋体"/>
        </w:rPr>
        <w:t xml:space="preserve">B  </w:t>
      </w:r>
      <w:r>
        <w:rPr>
          <w:rFonts w:hint="eastAsia" w:ascii="宋体" w:hAnsi="宋体"/>
        </w:rPr>
        <w:t>风险管理服务工作计划</w:t>
      </w:r>
      <w:bookmarkEnd w:id="25"/>
    </w:p>
    <w:p>
      <w:pPr>
        <w:pStyle w:val="36"/>
        <w:rPr>
          <w:rFonts w:ascii="宋体" w:hAnsi="宋体" w:cs="Arial"/>
          <w:szCs w:val="28"/>
        </w:rPr>
      </w:pPr>
      <w:r>
        <w:rPr>
          <w:rFonts w:hint="eastAsia" w:ascii="宋体" w:hAnsi="宋体"/>
          <w:szCs w:val="28"/>
        </w:rPr>
        <w:t>风险管理服务工作计划</w:t>
      </w:r>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1841"/>
        <w:gridCol w:w="3307"/>
        <w:gridCol w:w="182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项目名称</w:t>
            </w:r>
            <w:r>
              <w:rPr>
                <w:rFonts w:hint="eastAsia"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建设单位：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勘察单位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设计单位：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总</w:t>
            </w:r>
            <w:r>
              <w:rPr>
                <w:rFonts w:hint="eastAsia" w:ascii="宋体" w:hAnsi="宋体" w:eastAsia="宋体" w:cs="Arial"/>
                <w:bCs/>
                <w:kern w:val="0"/>
                <w:sz w:val="20"/>
                <w:szCs w:val="20"/>
              </w:rPr>
              <w:t>包</w:t>
            </w:r>
            <w:r>
              <w:rPr>
                <w:rFonts w:ascii="宋体" w:hAnsi="宋体" w:eastAsia="宋体" w:cs="Arial"/>
                <w:bCs/>
                <w:kern w:val="0"/>
                <w:sz w:val="20"/>
                <w:szCs w:val="20"/>
              </w:rPr>
              <w:t>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监理</w:t>
            </w:r>
            <w:r>
              <w:rPr>
                <w:rFonts w:hint="eastAsia" w:ascii="宋体" w:hAnsi="宋体" w:eastAsia="宋体" w:cs="Arial"/>
                <w:bCs/>
                <w:kern w:val="0"/>
                <w:sz w:val="20"/>
                <w:szCs w:val="20"/>
              </w:rPr>
              <w:t>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主承保保险公司：</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计划开工时间：</w:t>
            </w:r>
            <w:r>
              <w:rPr>
                <w:rFonts w:ascii="宋体" w:hAnsi="宋体" w:eastAsia="宋体" w:cs="Arial"/>
                <w:bCs/>
                <w:kern w:val="0"/>
                <w:sz w:val="20"/>
                <w:szCs w:val="20"/>
              </w:rPr>
              <w:t xml:space="preserve">               </w:t>
            </w:r>
          </w:p>
        </w:tc>
        <w:tc>
          <w:tcPr>
            <w:tcW w:w="3307" w:type="dxa"/>
            <w:vAlign w:val="center"/>
          </w:tcPr>
          <w:p>
            <w:pPr>
              <w:rPr>
                <w:rFonts w:ascii="宋体" w:hAnsi="宋体" w:eastAsia="宋体" w:cs="Arial"/>
                <w:bCs/>
                <w:kern w:val="0"/>
                <w:sz w:val="20"/>
                <w:szCs w:val="20"/>
              </w:rPr>
            </w:pPr>
          </w:p>
        </w:tc>
        <w:tc>
          <w:tcPr>
            <w:tcW w:w="1822"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计划竣工时间：</w:t>
            </w:r>
          </w:p>
        </w:tc>
        <w:tc>
          <w:tcPr>
            <w:tcW w:w="1326" w:type="dxa"/>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T</w:t>
            </w:r>
            <w:r>
              <w:rPr>
                <w:rFonts w:ascii="宋体" w:hAnsi="宋体" w:eastAsia="宋体" w:cs="Arial"/>
                <w:bCs/>
                <w:kern w:val="0"/>
                <w:sz w:val="20"/>
                <w:szCs w:val="20"/>
              </w:rPr>
              <w:t>IS</w:t>
            </w:r>
            <w:r>
              <w:rPr>
                <w:rFonts w:hint="eastAsia" w:ascii="宋体" w:hAnsi="宋体" w:eastAsia="宋体" w:cs="Arial"/>
                <w:bCs/>
                <w:kern w:val="0"/>
                <w:sz w:val="20"/>
                <w:szCs w:val="20"/>
              </w:rPr>
              <w:t>介入时间：</w:t>
            </w:r>
          </w:p>
        </w:tc>
        <w:tc>
          <w:tcPr>
            <w:tcW w:w="6455" w:type="dxa"/>
            <w:gridSpan w:val="3"/>
            <w:vAlign w:val="center"/>
          </w:tcPr>
          <w:p>
            <w:pPr>
              <w:rPr>
                <w:rFonts w:ascii="宋体" w:hAnsi="宋体" w:eastAsia="宋体" w:cs="Arial"/>
                <w:bCs/>
                <w:kern w:val="0"/>
                <w:sz w:val="20"/>
                <w:szCs w:val="20"/>
              </w:rPr>
            </w:pPr>
          </w:p>
        </w:tc>
      </w:tr>
    </w:tbl>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单体数量：</w:t>
            </w:r>
            <w:r>
              <w:rPr>
                <w:rFonts w:ascii="宋体" w:hAnsi="宋体" w:eastAsia="宋体" w:cs="Arial"/>
                <w:bCs/>
                <w:kern w:val="0"/>
                <w:sz w:val="20"/>
                <w:szCs w:val="20"/>
              </w:rPr>
              <w:t xml:space="preserve"> </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tbl>
    <w:p>
      <w:pPr>
        <w:rPr>
          <w:rFonts w:ascii="宋体" w:hAnsi="宋体" w:eastAsia="宋体" w:cs="Arial"/>
          <w:bCs/>
          <w:sz w:val="20"/>
          <w:szCs w:val="20"/>
        </w:rPr>
      </w:pPr>
      <w:r>
        <w:rPr>
          <w:rFonts w:ascii="宋体" w:hAnsi="宋体" w:eastAsia="宋体" w:cs="Arial"/>
          <w:bCs/>
          <w:sz w:val="20"/>
          <w:szCs w:val="20"/>
        </w:rPr>
        <w:t>1.4</w:t>
      </w:r>
      <w:r>
        <w:rPr>
          <w:rFonts w:hint="eastAsia" w:ascii="宋体" w:hAnsi="宋体" w:eastAsia="宋体" w:cs="Arial"/>
          <w:bCs/>
          <w:sz w:val="20"/>
          <w:szCs w:val="20"/>
        </w:rPr>
        <w:t>风险管理技术团队</w:t>
      </w:r>
    </w:p>
    <w:tbl>
      <w:tblPr>
        <w:tblStyle w:val="2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496"/>
        <w:gridCol w:w="783"/>
        <w:gridCol w:w="1108"/>
        <w:gridCol w:w="1086"/>
        <w:gridCol w:w="1733"/>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r>
              <w:rPr>
                <w:rFonts w:ascii="宋体" w:hAnsi="宋体" w:eastAsia="宋体" w:cs="Times New Roman"/>
                <w:bCs/>
                <w:sz w:val="20"/>
                <w:szCs w:val="20"/>
              </w:rPr>
              <w:t>姓名</w:t>
            </w:r>
          </w:p>
        </w:tc>
        <w:tc>
          <w:tcPr>
            <w:tcW w:w="149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技术团队职务</w:t>
            </w:r>
          </w:p>
        </w:tc>
        <w:tc>
          <w:tcPr>
            <w:tcW w:w="783" w:type="dxa"/>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专业</w:t>
            </w:r>
          </w:p>
        </w:tc>
        <w:tc>
          <w:tcPr>
            <w:tcW w:w="1108" w:type="dxa"/>
            <w:vAlign w:val="center"/>
          </w:tcPr>
          <w:p>
            <w:pPr>
              <w:spacing w:line="0" w:lineRule="atLeast"/>
              <w:jc w:val="center"/>
              <w:rPr>
                <w:rFonts w:ascii="宋体" w:hAnsi="宋体" w:eastAsia="宋体" w:cs="Times New Roman"/>
                <w:bCs/>
                <w:sz w:val="20"/>
                <w:szCs w:val="20"/>
              </w:rPr>
            </w:pPr>
            <w:r>
              <w:rPr>
                <w:rFonts w:ascii="宋体" w:hAnsi="宋体" w:eastAsia="宋体" w:cs="Times New Roman"/>
                <w:bCs/>
                <w:sz w:val="20"/>
                <w:szCs w:val="20"/>
              </w:rPr>
              <w:t>从业年限</w:t>
            </w:r>
          </w:p>
        </w:tc>
        <w:tc>
          <w:tcPr>
            <w:tcW w:w="1086" w:type="dxa"/>
            <w:vAlign w:val="center"/>
          </w:tcPr>
          <w:p>
            <w:pPr>
              <w:spacing w:line="0" w:lineRule="atLeast"/>
              <w:jc w:val="center"/>
              <w:rPr>
                <w:rFonts w:ascii="宋体" w:hAnsi="宋体" w:eastAsia="宋体"/>
                <w:bCs/>
                <w:sz w:val="20"/>
                <w:szCs w:val="20"/>
              </w:rPr>
            </w:pPr>
            <w:r>
              <w:rPr>
                <w:rFonts w:hint="eastAsia" w:ascii="宋体" w:hAnsi="宋体" w:eastAsia="宋体"/>
                <w:bCs/>
                <w:sz w:val="20"/>
                <w:szCs w:val="20"/>
              </w:rPr>
              <w:t>职称</w:t>
            </w:r>
          </w:p>
        </w:tc>
        <w:tc>
          <w:tcPr>
            <w:tcW w:w="1733" w:type="dxa"/>
          </w:tcPr>
          <w:p>
            <w:pPr>
              <w:spacing w:line="0" w:lineRule="atLeast"/>
              <w:jc w:val="center"/>
              <w:rPr>
                <w:rFonts w:ascii="宋体" w:hAnsi="宋体" w:eastAsia="宋体"/>
                <w:bCs/>
                <w:sz w:val="20"/>
                <w:szCs w:val="20"/>
              </w:rPr>
            </w:pPr>
            <w:r>
              <w:rPr>
                <w:rFonts w:hint="eastAsia" w:ascii="宋体" w:hAnsi="宋体" w:eastAsia="宋体"/>
                <w:bCs/>
                <w:sz w:val="20"/>
                <w:szCs w:val="20"/>
              </w:rPr>
              <w:t>执业资格</w:t>
            </w:r>
          </w:p>
        </w:tc>
        <w:tc>
          <w:tcPr>
            <w:tcW w:w="1181" w:type="dxa"/>
            <w:vAlign w:val="center"/>
          </w:tcPr>
          <w:p>
            <w:pPr>
              <w:spacing w:line="0" w:lineRule="atLeast"/>
              <w:jc w:val="center"/>
              <w:rPr>
                <w:rFonts w:ascii="宋体" w:hAnsi="宋体" w:eastAsia="宋体"/>
                <w:bCs/>
                <w:sz w:val="20"/>
                <w:szCs w:val="20"/>
              </w:rPr>
            </w:pPr>
            <w:r>
              <w:rPr>
                <w:rFonts w:hint="eastAsia" w:ascii="宋体" w:hAnsi="宋体" w:eastAsia="宋体"/>
                <w:bCs/>
                <w:sz w:val="20"/>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bl>
    <w:p>
      <w:pPr>
        <w:rPr>
          <w:rFonts w:ascii="宋体" w:hAnsi="宋体" w:eastAsia="宋体" w:cs="Arial"/>
          <w:bCs/>
          <w:sz w:val="20"/>
          <w:szCs w:val="20"/>
        </w:rPr>
      </w:pPr>
      <w:r>
        <w:rPr>
          <w:rFonts w:ascii="宋体" w:hAnsi="宋体" w:eastAsia="宋体" w:cs="Arial"/>
          <w:bCs/>
          <w:sz w:val="20"/>
          <w:szCs w:val="20"/>
        </w:rPr>
        <w:t>第</w:t>
      </w:r>
      <w:r>
        <w:rPr>
          <w:rFonts w:hint="eastAsia" w:ascii="宋体" w:hAnsi="宋体" w:eastAsia="宋体" w:cs="Arial"/>
          <w:bCs/>
          <w:sz w:val="20"/>
          <w:szCs w:val="20"/>
        </w:rPr>
        <w:t>二</w:t>
      </w:r>
      <w:r>
        <w:rPr>
          <w:rFonts w:ascii="宋体" w:hAnsi="宋体" w:eastAsia="宋体" w:cs="Arial"/>
          <w:bCs/>
          <w:sz w:val="20"/>
          <w:szCs w:val="20"/>
        </w:rPr>
        <w:t>部分：</w:t>
      </w:r>
      <w:r>
        <w:rPr>
          <w:rFonts w:hint="eastAsia" w:ascii="宋体" w:hAnsi="宋体" w:eastAsia="宋体" w:cs="Arial"/>
          <w:bCs/>
          <w:sz w:val="20"/>
          <w:szCs w:val="20"/>
        </w:rPr>
        <w:t>风险管理服务工作计划</w:t>
      </w:r>
    </w:p>
    <w:p>
      <w:pPr>
        <w:jc w:val="left"/>
        <w:rPr>
          <w:rFonts w:ascii="宋体" w:hAnsi="宋体" w:eastAsia="宋体" w:cs="Arial"/>
          <w:sz w:val="20"/>
          <w:szCs w:val="20"/>
        </w:rPr>
      </w:pPr>
      <w:r>
        <w:rPr>
          <w:rFonts w:ascii="宋体" w:hAnsi="宋体" w:eastAsia="宋体" w:cs="Arial"/>
          <w:sz w:val="20"/>
          <w:szCs w:val="20"/>
        </w:rPr>
        <w:t>2.1</w:t>
      </w:r>
      <w:r>
        <w:rPr>
          <w:rFonts w:hint="eastAsia" w:ascii="宋体" w:hAnsi="宋体" w:eastAsia="宋体" w:cs="Arial"/>
          <w:sz w:val="20"/>
          <w:szCs w:val="20"/>
        </w:rPr>
        <w:t>勘察阶段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勘察进场</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环境调查</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室内试验</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勘察报告</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2.2</w:t>
      </w:r>
      <w:r>
        <w:rPr>
          <w:rFonts w:hint="eastAsia" w:ascii="宋体" w:hAnsi="宋体" w:eastAsia="宋体" w:cs="Arial"/>
          <w:sz w:val="20"/>
          <w:szCs w:val="20"/>
        </w:rPr>
        <w:t>设计阶段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方案设计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初步设计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施工图设计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2.3</w:t>
      </w:r>
      <w:r>
        <w:rPr>
          <w:rFonts w:hint="eastAsia" w:ascii="宋体" w:hAnsi="宋体" w:eastAsia="宋体" w:cs="Arial"/>
          <w:sz w:val="20"/>
          <w:szCs w:val="20"/>
        </w:rPr>
        <w:t>施工阶段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271" w:type="dxa"/>
            <w:vAlign w:val="bottom"/>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开工前期</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vAlign w:val="center"/>
          </w:tcPr>
          <w:p>
            <w:pPr>
              <w:tabs>
                <w:tab w:val="left" w:pos="567"/>
                <w:tab w:val="left" w:leader="dot" w:pos="8222"/>
              </w:tabs>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施工阶段</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竣工验收</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2.4</w:t>
      </w:r>
      <w:r>
        <w:rPr>
          <w:rFonts w:hint="eastAsia" w:ascii="宋体" w:hAnsi="宋体" w:eastAsia="宋体" w:cs="Arial"/>
          <w:sz w:val="20"/>
          <w:szCs w:val="20"/>
        </w:rPr>
        <w:t>缺陷责任期</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271" w:type="dxa"/>
            <w:vAlign w:val="bottom"/>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restart"/>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缺陷责任期</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continue"/>
            <w:vAlign w:val="center"/>
          </w:tcPr>
          <w:p>
            <w:pPr>
              <w:tabs>
                <w:tab w:val="left" w:pos="567"/>
                <w:tab w:val="left" w:leader="dot" w:pos="8222"/>
              </w:tabs>
              <w:spacing w:line="0" w:lineRule="atLeast"/>
              <w:jc w:val="lef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第</w:t>
      </w:r>
      <w:r>
        <w:rPr>
          <w:rFonts w:hint="eastAsia" w:ascii="宋体" w:hAnsi="宋体" w:eastAsia="宋体" w:cs="Arial"/>
          <w:sz w:val="20"/>
          <w:szCs w:val="20"/>
        </w:rPr>
        <w:t>三</w:t>
      </w:r>
      <w:r>
        <w:rPr>
          <w:rFonts w:ascii="宋体" w:hAnsi="宋体" w:eastAsia="宋体" w:cs="Arial"/>
          <w:sz w:val="20"/>
          <w:szCs w:val="20"/>
        </w:rPr>
        <w:t>部分：</w:t>
      </w:r>
      <w:r>
        <w:rPr>
          <w:rFonts w:hint="eastAsia" w:ascii="宋体" w:hAnsi="宋体" w:eastAsia="宋体" w:cs="Arial"/>
          <w:sz w:val="20"/>
          <w:szCs w:val="20"/>
        </w:rPr>
        <w:t>工作配合</w:t>
      </w:r>
    </w:p>
    <w:p>
      <w:pPr>
        <w:jc w:val="left"/>
        <w:rPr>
          <w:rFonts w:ascii="宋体" w:hAnsi="宋体" w:eastAsia="宋体" w:cs="Arial"/>
          <w:sz w:val="20"/>
          <w:szCs w:val="20"/>
        </w:rPr>
      </w:pPr>
      <w:r>
        <w:rPr>
          <w:rFonts w:ascii="宋体" w:hAnsi="宋体" w:eastAsia="宋体" w:cs="Arial"/>
          <w:sz w:val="20"/>
          <w:szCs w:val="20"/>
        </w:rPr>
        <w:t>3.1</w:t>
      </w:r>
      <w:r>
        <w:rPr>
          <w:rFonts w:hint="eastAsia" w:ascii="宋体" w:hAnsi="宋体" w:eastAsia="宋体" w:cs="Arial"/>
          <w:sz w:val="20"/>
          <w:szCs w:val="20"/>
        </w:rPr>
        <w:t>沟通协调机制</w:t>
      </w:r>
    </w:p>
    <w:p>
      <w:pPr>
        <w:jc w:val="left"/>
        <w:rPr>
          <w:rFonts w:ascii="宋体" w:hAnsi="宋体" w:eastAsia="宋体" w:cs="Arial"/>
          <w:sz w:val="20"/>
          <w:szCs w:val="20"/>
        </w:rPr>
      </w:pPr>
      <w:r>
        <w:rPr>
          <w:rFonts w:ascii="宋体" w:hAnsi="宋体" w:eastAsia="宋体" w:cs="Arial"/>
          <w:sz w:val="20"/>
          <w:szCs w:val="20"/>
        </w:rPr>
        <w:t>3.2</w:t>
      </w:r>
      <w:r>
        <w:rPr>
          <w:rFonts w:hint="eastAsia" w:ascii="宋体" w:hAnsi="宋体" w:eastAsia="宋体" w:cs="Arial"/>
          <w:sz w:val="20"/>
          <w:szCs w:val="20"/>
        </w:rPr>
        <w:t>关键施工节点</w:t>
      </w:r>
    </w:p>
    <w:p>
      <w:pPr>
        <w:jc w:val="left"/>
        <w:rPr>
          <w:rFonts w:ascii="宋体" w:hAnsi="宋体" w:eastAsia="宋体" w:cs="Arial"/>
          <w:sz w:val="20"/>
          <w:szCs w:val="20"/>
        </w:rPr>
      </w:pPr>
      <w:r>
        <w:rPr>
          <w:rFonts w:ascii="宋体" w:hAnsi="宋体" w:eastAsia="宋体" w:cs="Arial"/>
          <w:sz w:val="20"/>
          <w:szCs w:val="20"/>
        </w:rPr>
        <w:t>第</w:t>
      </w:r>
      <w:r>
        <w:rPr>
          <w:rFonts w:hint="eastAsia" w:ascii="宋体" w:hAnsi="宋体" w:eastAsia="宋体" w:cs="Arial"/>
          <w:sz w:val="20"/>
          <w:szCs w:val="20"/>
        </w:rPr>
        <w:t>四</w:t>
      </w:r>
      <w:r>
        <w:rPr>
          <w:rFonts w:ascii="宋体" w:hAnsi="宋体" w:eastAsia="宋体" w:cs="Arial"/>
          <w:sz w:val="20"/>
          <w:szCs w:val="20"/>
        </w:rPr>
        <w:t>部分：</w:t>
      </w:r>
      <w:r>
        <w:rPr>
          <w:rFonts w:hint="eastAsia" w:ascii="宋体" w:hAnsi="宋体" w:eastAsia="宋体" w:cs="Arial"/>
          <w:sz w:val="20"/>
          <w:szCs w:val="20"/>
        </w:rPr>
        <w:t>文档资料</w:t>
      </w:r>
    </w:p>
    <w:p>
      <w:pPr>
        <w:jc w:val="left"/>
        <w:rPr>
          <w:rFonts w:ascii="宋体" w:hAnsi="宋体" w:eastAsia="宋体" w:cs="Arial"/>
          <w:sz w:val="20"/>
          <w:szCs w:val="20"/>
        </w:rPr>
      </w:pPr>
      <w:r>
        <w:rPr>
          <w:rFonts w:ascii="宋体" w:hAnsi="宋体" w:eastAsia="宋体" w:cs="Arial"/>
          <w:sz w:val="20"/>
          <w:szCs w:val="20"/>
        </w:rPr>
        <w:t>4.1</w:t>
      </w:r>
      <w:r>
        <w:rPr>
          <w:rFonts w:hint="eastAsia" w:ascii="宋体" w:hAnsi="宋体" w:eastAsia="宋体" w:cs="Arial"/>
          <w:sz w:val="20"/>
          <w:szCs w:val="20"/>
        </w:rPr>
        <w:t>需要的资料清单</w:t>
      </w:r>
    </w:p>
    <w:p>
      <w:pPr>
        <w:jc w:val="left"/>
        <w:rPr>
          <w:rFonts w:ascii="宋体" w:hAnsi="宋体" w:eastAsia="宋体" w:cs="Arial"/>
          <w:sz w:val="20"/>
          <w:szCs w:val="20"/>
        </w:rPr>
      </w:pPr>
      <w:r>
        <w:rPr>
          <w:rFonts w:hint="eastAsia" w:ascii="宋体" w:hAnsi="宋体" w:eastAsia="宋体" w:cs="Arial"/>
          <w:sz w:val="20"/>
          <w:szCs w:val="20"/>
        </w:rPr>
        <w:t>4</w:t>
      </w:r>
      <w:r>
        <w:rPr>
          <w:rFonts w:ascii="宋体" w:hAnsi="宋体" w:eastAsia="宋体" w:cs="Arial"/>
          <w:sz w:val="20"/>
          <w:szCs w:val="20"/>
        </w:rPr>
        <w:t>.2</w:t>
      </w:r>
      <w:r>
        <w:rPr>
          <w:rFonts w:hint="eastAsia" w:ascii="宋体" w:hAnsi="宋体" w:eastAsia="宋体" w:cs="Arial"/>
          <w:sz w:val="20"/>
          <w:szCs w:val="20"/>
        </w:rPr>
        <w:t>拟出具的</w:t>
      </w:r>
      <w:r>
        <w:rPr>
          <w:rFonts w:ascii="宋体" w:hAnsi="宋体" w:eastAsia="宋体" w:cs="Arial"/>
          <w:sz w:val="20"/>
          <w:szCs w:val="20"/>
        </w:rPr>
        <w:t>风险评估报告</w:t>
      </w:r>
    </w:p>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26" w:name="_Toc58848583"/>
      <w:r>
        <w:rPr>
          <w:rFonts w:hint="eastAsia" w:ascii="宋体" w:hAnsi="宋体"/>
        </w:rPr>
        <w:t>附录</w:t>
      </w:r>
      <w:r>
        <w:rPr>
          <w:rFonts w:ascii="宋体" w:hAnsi="宋体"/>
        </w:rPr>
        <w:t xml:space="preserve">C  </w:t>
      </w:r>
      <w:r>
        <w:rPr>
          <w:rFonts w:hint="eastAsia" w:ascii="宋体" w:hAnsi="宋体"/>
        </w:rPr>
        <w:t>过程检查报告</w:t>
      </w:r>
      <w:bookmarkEnd w:id="26"/>
    </w:p>
    <w:p>
      <w:pPr>
        <w:jc w:val="center"/>
        <w:rPr>
          <w:rFonts w:ascii="宋体" w:hAnsi="宋体" w:eastAsia="宋体"/>
          <w:b/>
          <w:bCs/>
          <w:sz w:val="28"/>
          <w:szCs w:val="28"/>
        </w:rPr>
      </w:pPr>
      <w:bookmarkStart w:id="27" w:name="_Toc25075577"/>
      <w:r>
        <w:rPr>
          <w:rFonts w:hint="eastAsia" w:ascii="宋体" w:hAnsi="宋体" w:eastAsia="宋体"/>
          <w:b/>
          <w:bCs/>
          <w:sz w:val="28"/>
          <w:szCs w:val="28"/>
        </w:rPr>
        <w:t>过程检查报告</w:t>
      </w:r>
    </w:p>
    <w:p>
      <w:pPr>
        <w:jc w:val="center"/>
        <w:rPr>
          <w:rFonts w:ascii="宋体" w:hAnsi="宋体" w:eastAsia="宋体" w:cs="Arial"/>
          <w:sz w:val="28"/>
          <w:szCs w:val="28"/>
        </w:rPr>
      </w:pPr>
      <w:r>
        <w:rPr>
          <w:rFonts w:hint="eastAsia" w:ascii="宋体" w:hAnsi="宋体" w:eastAsia="宋体"/>
          <w:b/>
          <w:bCs/>
          <w:sz w:val="28"/>
          <w:szCs w:val="28"/>
        </w:rPr>
        <w:t>报告编号：P</w:t>
      </w:r>
      <w:r>
        <w:rPr>
          <w:rFonts w:ascii="宋体" w:hAnsi="宋体" w:eastAsia="宋体"/>
          <w:b/>
          <w:bCs/>
          <w:sz w:val="28"/>
          <w:szCs w:val="28"/>
        </w:rPr>
        <w:t>RNXXXXXXXX</w:t>
      </w:r>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1841"/>
        <w:gridCol w:w="3307"/>
        <w:gridCol w:w="182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项目名称</w:t>
            </w:r>
            <w:r>
              <w:rPr>
                <w:rFonts w:hint="eastAsia"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建设单位：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勘察单位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设计单位：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总</w:t>
            </w:r>
            <w:r>
              <w:rPr>
                <w:rFonts w:hint="eastAsia" w:ascii="宋体" w:hAnsi="宋体" w:eastAsia="宋体" w:cs="Arial"/>
                <w:bCs/>
                <w:kern w:val="0"/>
                <w:sz w:val="20"/>
                <w:szCs w:val="20"/>
              </w:rPr>
              <w:t>包</w:t>
            </w:r>
            <w:r>
              <w:rPr>
                <w:rFonts w:ascii="宋体" w:hAnsi="宋体" w:eastAsia="宋体" w:cs="Arial"/>
                <w:bCs/>
                <w:kern w:val="0"/>
                <w:sz w:val="20"/>
                <w:szCs w:val="20"/>
              </w:rPr>
              <w:t>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监理</w:t>
            </w:r>
            <w:r>
              <w:rPr>
                <w:rFonts w:hint="eastAsia" w:ascii="宋体" w:hAnsi="宋体" w:eastAsia="宋体" w:cs="Arial"/>
                <w:bCs/>
                <w:kern w:val="0"/>
                <w:sz w:val="20"/>
                <w:szCs w:val="20"/>
              </w:rPr>
              <w:t>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主承保保险公司：</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计划开工时间：</w:t>
            </w:r>
            <w:r>
              <w:rPr>
                <w:rFonts w:ascii="宋体" w:hAnsi="宋体" w:eastAsia="宋体" w:cs="Arial"/>
                <w:bCs/>
                <w:kern w:val="0"/>
                <w:sz w:val="20"/>
                <w:szCs w:val="20"/>
              </w:rPr>
              <w:t xml:space="preserve">               </w:t>
            </w:r>
          </w:p>
        </w:tc>
        <w:tc>
          <w:tcPr>
            <w:tcW w:w="3307" w:type="dxa"/>
            <w:vAlign w:val="center"/>
          </w:tcPr>
          <w:p>
            <w:pPr>
              <w:rPr>
                <w:rFonts w:ascii="宋体" w:hAnsi="宋体" w:eastAsia="宋体" w:cs="Arial"/>
                <w:bCs/>
                <w:kern w:val="0"/>
                <w:sz w:val="20"/>
                <w:szCs w:val="20"/>
              </w:rPr>
            </w:pPr>
          </w:p>
        </w:tc>
        <w:tc>
          <w:tcPr>
            <w:tcW w:w="1822"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计划竣工时间：</w:t>
            </w:r>
          </w:p>
        </w:tc>
        <w:tc>
          <w:tcPr>
            <w:tcW w:w="1326" w:type="dxa"/>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T</w:t>
            </w:r>
            <w:r>
              <w:rPr>
                <w:rFonts w:ascii="宋体" w:hAnsi="宋体" w:eastAsia="宋体" w:cs="Arial"/>
                <w:bCs/>
                <w:kern w:val="0"/>
                <w:sz w:val="20"/>
                <w:szCs w:val="20"/>
              </w:rPr>
              <w:t>IS</w:t>
            </w:r>
            <w:r>
              <w:rPr>
                <w:rFonts w:hint="eastAsia" w:ascii="宋体" w:hAnsi="宋体" w:eastAsia="宋体" w:cs="Arial"/>
                <w:bCs/>
                <w:kern w:val="0"/>
                <w:sz w:val="20"/>
                <w:szCs w:val="20"/>
              </w:rPr>
              <w:t>介入时间：</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gridSpan w:val="4"/>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风险管理机构介入时项目处于以下阶段：</w:t>
            </w:r>
          </w:p>
          <w:p>
            <w:pPr>
              <w:rPr>
                <w:rFonts w:ascii="宋体" w:hAnsi="宋体" w:eastAsia="宋体" w:cs="Arial"/>
                <w:bCs/>
                <w:kern w:val="0"/>
                <w:sz w:val="20"/>
                <w:szCs w:val="20"/>
              </w:rPr>
            </w:pPr>
            <w:r>
              <w:rPr>
                <w:rFonts w:hint="eastAsia" w:ascii="宋体" w:hAnsi="宋体" w:eastAsia="宋体" w:cs="Times New Roman"/>
                <w:bCs/>
                <w:kern w:val="0"/>
                <w:sz w:val="20"/>
                <w:szCs w:val="20"/>
              </w:rPr>
              <w:t xml:space="preserve">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勘察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设计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施工准备  ■</w:t>
            </w:r>
            <w:r>
              <w:rPr>
                <w:rFonts w:ascii="宋体" w:hAnsi="宋体" w:eastAsia="宋体" w:cs="Times New Roman"/>
                <w:bCs/>
                <w:kern w:val="0"/>
                <w:sz w:val="20"/>
                <w:szCs w:val="20"/>
              </w:rPr>
              <w:t>桩基</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基础</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主体</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机电</w:t>
            </w:r>
            <w:r>
              <w:rPr>
                <w:rFonts w:hint="eastAsia" w:ascii="宋体" w:hAnsi="宋体" w:eastAsia="宋体" w:cs="Times New Roman"/>
                <w:bCs/>
                <w:kern w:val="0"/>
                <w:sz w:val="20"/>
                <w:szCs w:val="20"/>
              </w:rPr>
              <w:t xml:space="preserve">安装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装修</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竣工</w:t>
            </w:r>
          </w:p>
        </w:tc>
      </w:tr>
    </w:tbl>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单体数量：</w:t>
            </w:r>
            <w:r>
              <w:rPr>
                <w:rFonts w:ascii="宋体" w:hAnsi="宋体" w:eastAsia="宋体" w:cs="Arial"/>
                <w:bCs/>
                <w:kern w:val="0"/>
                <w:sz w:val="20"/>
                <w:szCs w:val="20"/>
              </w:rPr>
              <w:t xml:space="preserve"> </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bookmarkEnd w:id="27"/>
    </w:tbl>
    <w:p>
      <w:pPr>
        <w:rPr>
          <w:rFonts w:ascii="宋体" w:hAnsi="宋体" w:eastAsia="宋体" w:cs="Arial"/>
          <w:bCs/>
          <w:sz w:val="20"/>
          <w:szCs w:val="20"/>
        </w:rPr>
      </w:pPr>
      <w:bookmarkStart w:id="28" w:name="_Toc25075582"/>
      <w:r>
        <w:rPr>
          <w:rFonts w:hint="eastAsia" w:ascii="宋体" w:hAnsi="宋体" w:eastAsia="宋体" w:cs="Arial"/>
          <w:bCs/>
          <w:sz w:val="20"/>
          <w:szCs w:val="20"/>
        </w:rPr>
        <w:t>第二部分：项目进度</w:t>
      </w:r>
      <w:bookmarkEnd w:id="28"/>
    </w:p>
    <w:p>
      <w:pPr>
        <w:rPr>
          <w:rFonts w:ascii="宋体" w:hAnsi="宋体" w:eastAsia="宋体" w:cs="Arial"/>
          <w:bCs/>
          <w:sz w:val="20"/>
          <w:szCs w:val="20"/>
        </w:rPr>
      </w:pPr>
      <w:bookmarkStart w:id="29" w:name="_Toc25075583"/>
      <w:r>
        <w:rPr>
          <w:rFonts w:ascii="宋体" w:hAnsi="宋体" w:eastAsia="宋体" w:cs="Arial"/>
          <w:bCs/>
          <w:sz w:val="20"/>
          <w:szCs w:val="20"/>
        </w:rPr>
        <w:t xml:space="preserve">2.1. </w:t>
      </w:r>
      <w:r>
        <w:rPr>
          <w:rFonts w:hint="eastAsia" w:ascii="宋体" w:hAnsi="宋体" w:eastAsia="宋体" w:cs="Arial"/>
          <w:bCs/>
          <w:sz w:val="20"/>
          <w:szCs w:val="20"/>
        </w:rPr>
        <w:t>各建筑单体进度详表</w:t>
      </w:r>
      <w:bookmarkEnd w:id="29"/>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709"/>
        <w:gridCol w:w="709"/>
        <w:gridCol w:w="992"/>
        <w:gridCol w:w="992"/>
        <w:gridCol w:w="1276"/>
        <w:gridCol w:w="2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楼号</w:t>
            </w:r>
          </w:p>
        </w:tc>
        <w:tc>
          <w:tcPr>
            <w:tcW w:w="1418" w:type="dxa"/>
            <w:gridSpan w:val="2"/>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层数</w:t>
            </w:r>
          </w:p>
        </w:tc>
        <w:tc>
          <w:tcPr>
            <w:tcW w:w="1984" w:type="dxa"/>
            <w:gridSpan w:val="2"/>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建筑面积（m2）</w:t>
            </w:r>
          </w:p>
        </w:tc>
        <w:tc>
          <w:tcPr>
            <w:tcW w:w="1276"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总高度（</w:t>
            </w:r>
            <w:r>
              <w:rPr>
                <w:rFonts w:ascii="宋体" w:hAnsi="宋体" w:eastAsia="宋体" w:cs="Times New Roman"/>
                <w:bCs/>
                <w:kern w:val="0"/>
                <w:sz w:val="20"/>
                <w:szCs w:val="20"/>
              </w:rPr>
              <w:t>m</w:t>
            </w:r>
            <w:r>
              <w:rPr>
                <w:rFonts w:hint="eastAsia" w:ascii="宋体" w:hAnsi="宋体" w:eastAsia="宋体" w:cs="Times New Roman"/>
                <w:bCs/>
                <w:kern w:val="0"/>
                <w:sz w:val="20"/>
                <w:szCs w:val="20"/>
              </w:rPr>
              <w:t>）</w:t>
            </w:r>
          </w:p>
        </w:tc>
        <w:tc>
          <w:tcPr>
            <w:tcW w:w="2977"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目前进度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vMerge w:val="continue"/>
            <w:vAlign w:val="center"/>
          </w:tcPr>
          <w:p>
            <w:pPr>
              <w:spacing w:line="0" w:lineRule="atLeast"/>
              <w:jc w:val="center"/>
              <w:rPr>
                <w:rFonts w:ascii="宋体" w:hAnsi="宋体" w:eastAsia="宋体" w:cs="Times New Roman"/>
                <w:kern w:val="0"/>
                <w:sz w:val="20"/>
                <w:szCs w:val="20"/>
              </w:rPr>
            </w:pPr>
          </w:p>
        </w:tc>
        <w:tc>
          <w:tcPr>
            <w:tcW w:w="70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地上</w:t>
            </w:r>
          </w:p>
        </w:tc>
        <w:tc>
          <w:tcPr>
            <w:tcW w:w="70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地下</w:t>
            </w:r>
          </w:p>
        </w:tc>
        <w:tc>
          <w:tcPr>
            <w:tcW w:w="992"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地上</w:t>
            </w:r>
          </w:p>
        </w:tc>
        <w:tc>
          <w:tcPr>
            <w:tcW w:w="992"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地下</w:t>
            </w:r>
          </w:p>
        </w:tc>
        <w:tc>
          <w:tcPr>
            <w:tcW w:w="1276" w:type="dxa"/>
            <w:vMerge w:val="continue"/>
            <w:vAlign w:val="center"/>
          </w:tcPr>
          <w:p>
            <w:pPr>
              <w:spacing w:line="0" w:lineRule="atLeast"/>
              <w:jc w:val="center"/>
              <w:rPr>
                <w:rFonts w:ascii="宋体" w:hAnsi="宋体" w:eastAsia="宋体" w:cs="Times New Roman"/>
                <w:kern w:val="0"/>
                <w:sz w:val="20"/>
                <w:szCs w:val="20"/>
              </w:rPr>
            </w:pPr>
          </w:p>
        </w:tc>
        <w:tc>
          <w:tcPr>
            <w:tcW w:w="2977" w:type="dxa"/>
            <w:vMerge w:val="continue"/>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30" w:name="_Toc25075584"/>
      <w:r>
        <w:rPr>
          <w:rFonts w:hint="eastAsia" w:ascii="宋体" w:hAnsi="宋体" w:eastAsia="宋体" w:cs="Arial"/>
          <w:bCs/>
          <w:sz w:val="20"/>
          <w:szCs w:val="20"/>
        </w:rPr>
        <w:t>2.2 现场进度照片</w:t>
      </w:r>
      <w:bookmarkEnd w:id="30"/>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06"/>
        <w:gridCol w:w="4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4106"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c>
          <w:tcPr>
            <w:tcW w:w="4253"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4106"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c>
          <w:tcPr>
            <w:tcW w:w="4253"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r>
    </w:tbl>
    <w:p>
      <w:pPr>
        <w:rPr>
          <w:rFonts w:ascii="宋体" w:hAnsi="宋体" w:eastAsia="宋体" w:cs="Arial"/>
          <w:bCs/>
          <w:sz w:val="20"/>
          <w:szCs w:val="20"/>
        </w:rPr>
      </w:pPr>
      <w:bookmarkStart w:id="31" w:name="_Toc25075585"/>
      <w:r>
        <w:rPr>
          <w:rFonts w:hint="eastAsia" w:ascii="宋体" w:hAnsi="宋体" w:eastAsia="宋体" w:cs="Arial"/>
          <w:bCs/>
          <w:sz w:val="20"/>
          <w:szCs w:val="20"/>
        </w:rPr>
        <w:t>第三部分：项目查勘情况</w:t>
      </w:r>
      <w:bookmarkEnd w:id="31"/>
      <w:bookmarkStart w:id="32" w:name="_Toc25075586"/>
    </w:p>
    <w:p>
      <w:pPr>
        <w:rPr>
          <w:rFonts w:ascii="宋体" w:hAnsi="宋体" w:eastAsia="宋体" w:cs="Arial"/>
          <w:bCs/>
          <w:sz w:val="20"/>
          <w:szCs w:val="20"/>
        </w:rPr>
      </w:pPr>
      <w:r>
        <w:rPr>
          <w:rFonts w:hint="eastAsia" w:ascii="宋体" w:hAnsi="宋体" w:eastAsia="宋体" w:cs="Arial"/>
          <w:bCs/>
          <w:sz w:val="20"/>
          <w:szCs w:val="20"/>
        </w:rPr>
        <w:t>3.</w:t>
      </w:r>
      <w:r>
        <w:rPr>
          <w:rFonts w:ascii="宋体" w:hAnsi="宋体" w:eastAsia="宋体" w:cs="Arial"/>
          <w:bCs/>
          <w:sz w:val="20"/>
          <w:szCs w:val="20"/>
        </w:rPr>
        <w:t>1</w:t>
      </w:r>
      <w:r>
        <w:rPr>
          <w:rFonts w:hint="eastAsia" w:ascii="宋体" w:hAnsi="宋体" w:eastAsia="宋体" w:cs="Arial"/>
          <w:bCs/>
          <w:sz w:val="20"/>
          <w:szCs w:val="20"/>
        </w:rPr>
        <w:t>查勘工作内容</w:t>
      </w:r>
      <w:bookmarkEnd w:id="32"/>
    </w:p>
    <w:p>
      <w:pPr>
        <w:rPr>
          <w:rFonts w:ascii="宋体" w:hAnsi="宋体" w:eastAsia="宋体" w:cs="Arial"/>
          <w:bCs/>
          <w:sz w:val="20"/>
          <w:szCs w:val="20"/>
        </w:rPr>
      </w:pPr>
      <w:bookmarkStart w:id="33" w:name="_Toc25075587"/>
      <w:r>
        <w:rPr>
          <w:rFonts w:hint="eastAsia" w:ascii="宋体" w:hAnsi="宋体" w:eastAsia="宋体" w:cs="Arial"/>
          <w:bCs/>
          <w:sz w:val="20"/>
          <w:szCs w:val="20"/>
        </w:rPr>
        <w:t>3</w:t>
      </w:r>
      <w:r>
        <w:rPr>
          <w:rFonts w:ascii="宋体" w:hAnsi="宋体" w:eastAsia="宋体" w:cs="Arial"/>
          <w:bCs/>
          <w:sz w:val="20"/>
          <w:szCs w:val="20"/>
        </w:rPr>
        <w:t>.1.1</w:t>
      </w:r>
      <w:r>
        <w:rPr>
          <w:rFonts w:hint="eastAsia" w:ascii="宋体" w:hAnsi="宋体" w:eastAsia="宋体" w:cs="Arial"/>
          <w:bCs/>
          <w:sz w:val="20"/>
          <w:szCs w:val="20"/>
        </w:rPr>
        <w:t>本次查勘工作描述</w:t>
      </w:r>
      <w:bookmarkEnd w:id="33"/>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trPr>
        <w:tc>
          <w:tcPr>
            <w:tcW w:w="8359" w:type="dxa"/>
            <w:vAlign w:val="center"/>
          </w:tcPr>
          <w:p>
            <w:pPr>
              <w:jc w:val="center"/>
              <w:rPr>
                <w:rFonts w:ascii="宋体" w:hAnsi="宋体" w:eastAsia="宋体" w:cs="Times New Roman"/>
                <w:bCs/>
                <w:sz w:val="20"/>
                <w:szCs w:val="20"/>
              </w:rPr>
            </w:pPr>
          </w:p>
        </w:tc>
      </w:tr>
    </w:tbl>
    <w:p>
      <w:pPr>
        <w:rPr>
          <w:rFonts w:ascii="宋体" w:hAnsi="宋体" w:eastAsia="宋体" w:cs="Arial"/>
          <w:bCs/>
          <w:sz w:val="20"/>
          <w:szCs w:val="20"/>
        </w:rPr>
      </w:pPr>
      <w:bookmarkStart w:id="34" w:name="_Toc25075588"/>
      <w:r>
        <w:rPr>
          <w:rFonts w:hint="eastAsia" w:ascii="宋体" w:hAnsi="宋体" w:eastAsia="宋体" w:cs="Arial"/>
          <w:bCs/>
          <w:sz w:val="20"/>
          <w:szCs w:val="20"/>
        </w:rPr>
        <w:t>3</w:t>
      </w:r>
      <w:r>
        <w:rPr>
          <w:rFonts w:ascii="宋体" w:hAnsi="宋体" w:eastAsia="宋体" w:cs="Arial"/>
          <w:bCs/>
          <w:sz w:val="20"/>
          <w:szCs w:val="20"/>
        </w:rPr>
        <w:t>.1.2</w:t>
      </w:r>
      <w:r>
        <w:rPr>
          <w:rFonts w:hint="eastAsia" w:ascii="宋体" w:hAnsi="宋体" w:eastAsia="宋体" w:cs="Arial"/>
          <w:bCs/>
          <w:sz w:val="20"/>
          <w:szCs w:val="20"/>
        </w:rPr>
        <w:t>项目资料</w:t>
      </w:r>
      <w:bookmarkEnd w:id="34"/>
    </w:p>
    <w:p>
      <w:pPr>
        <w:rPr>
          <w:rFonts w:ascii="宋体" w:hAnsi="宋体" w:eastAsia="宋体" w:cs="Arial"/>
          <w:bCs/>
          <w:sz w:val="20"/>
          <w:szCs w:val="20"/>
        </w:rPr>
      </w:pPr>
      <w:r>
        <w:rPr>
          <w:rFonts w:hint="eastAsia" w:ascii="宋体" w:hAnsi="宋体" w:eastAsia="宋体" w:cs="Arial"/>
          <w:bCs/>
          <w:sz w:val="20"/>
          <w:szCs w:val="20"/>
        </w:rPr>
        <w:t>本项目至本次查勘之日，已收到的及现场查阅的相关资料文件：</w:t>
      </w:r>
    </w:p>
    <w:tbl>
      <w:tblPr>
        <w:tblStyle w:val="23"/>
        <w:tblW w:w="8359" w:type="dxa"/>
        <w:tblInd w:w="0" w:type="dxa"/>
        <w:tblLayout w:type="fixed"/>
        <w:tblCellMar>
          <w:top w:w="0" w:type="dxa"/>
          <w:left w:w="108" w:type="dxa"/>
          <w:bottom w:w="0" w:type="dxa"/>
          <w:right w:w="108" w:type="dxa"/>
        </w:tblCellMar>
      </w:tblPr>
      <w:tblGrid>
        <w:gridCol w:w="3964"/>
        <w:gridCol w:w="2268"/>
        <w:gridCol w:w="2127"/>
      </w:tblGrid>
      <w:tr>
        <w:tblPrEx>
          <w:tblCellMar>
            <w:top w:w="0" w:type="dxa"/>
            <w:left w:w="108" w:type="dxa"/>
            <w:bottom w:w="0" w:type="dxa"/>
            <w:right w:w="108" w:type="dxa"/>
          </w:tblCellMar>
        </w:tblPrEx>
        <w:trPr>
          <w:trHeight w:val="221" w:hRule="atLeast"/>
          <w:tblHeader/>
        </w:trPr>
        <w:tc>
          <w:tcPr>
            <w:tcW w:w="3964"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接收资料</w:t>
            </w:r>
          </w:p>
        </w:tc>
        <w:tc>
          <w:tcPr>
            <w:tcW w:w="2268"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接收方式</w:t>
            </w:r>
          </w:p>
        </w:tc>
        <w:tc>
          <w:tcPr>
            <w:tcW w:w="2127"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接收日期</w:t>
            </w: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bl>
    <w:p>
      <w:pPr>
        <w:rPr>
          <w:rFonts w:ascii="宋体" w:hAnsi="宋体" w:eastAsia="宋体" w:cs="Arial"/>
          <w:bCs/>
          <w:sz w:val="20"/>
          <w:szCs w:val="20"/>
        </w:rPr>
      </w:pPr>
      <w:bookmarkStart w:id="35" w:name="_Toc25075589"/>
      <w:r>
        <w:rPr>
          <w:rFonts w:hint="eastAsia" w:ascii="宋体" w:hAnsi="宋体" w:eastAsia="宋体" w:cs="Arial"/>
          <w:bCs/>
          <w:sz w:val="20"/>
          <w:szCs w:val="20"/>
        </w:rPr>
        <w:t>3</w:t>
      </w:r>
      <w:r>
        <w:rPr>
          <w:rFonts w:ascii="宋体" w:hAnsi="宋体" w:eastAsia="宋体" w:cs="Arial"/>
          <w:bCs/>
          <w:sz w:val="20"/>
          <w:szCs w:val="20"/>
        </w:rPr>
        <w:t>.1.3</w:t>
      </w:r>
      <w:r>
        <w:rPr>
          <w:rFonts w:hint="eastAsia" w:ascii="宋体" w:hAnsi="宋体" w:eastAsia="宋体" w:cs="Arial"/>
          <w:bCs/>
          <w:sz w:val="20"/>
          <w:szCs w:val="20"/>
        </w:rPr>
        <w:t>检查内容描述：</w:t>
      </w:r>
      <w:bookmarkEnd w:id="35"/>
    </w:p>
    <w:tbl>
      <w:tblPr>
        <w:tblStyle w:val="2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71"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检查分项</w:t>
            </w:r>
          </w:p>
        </w:tc>
        <w:tc>
          <w:tcPr>
            <w:tcW w:w="7088"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质量管理</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材料检测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施工资料</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监理资料</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建筑场地</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工程放线</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桩基工程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基础工程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土方工程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基坑围护</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模板工程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钢筋工程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钢结构工程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装配式工程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混凝土工程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围护结构</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防水保温</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二次结构</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安装工程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装修工程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bl>
    <w:p>
      <w:pPr>
        <w:rPr>
          <w:rFonts w:ascii="宋体" w:hAnsi="宋体" w:eastAsia="宋体" w:cs="Arial"/>
          <w:bCs/>
          <w:sz w:val="20"/>
          <w:szCs w:val="20"/>
        </w:rPr>
      </w:pPr>
      <w:bookmarkStart w:id="36" w:name="_Toc25075590"/>
      <w:r>
        <w:rPr>
          <w:rFonts w:hint="eastAsia" w:ascii="宋体" w:hAnsi="宋体" w:eastAsia="宋体" w:cs="Arial"/>
          <w:bCs/>
          <w:sz w:val="20"/>
          <w:szCs w:val="20"/>
        </w:rPr>
        <w:t>3</w:t>
      </w:r>
      <w:r>
        <w:rPr>
          <w:rFonts w:ascii="宋体" w:hAnsi="宋体" w:eastAsia="宋体" w:cs="Arial"/>
          <w:bCs/>
          <w:sz w:val="20"/>
          <w:szCs w:val="20"/>
        </w:rPr>
        <w:t>.1.4</w:t>
      </w:r>
      <w:r>
        <w:rPr>
          <w:rFonts w:hint="eastAsia" w:ascii="宋体" w:hAnsi="宋体" w:eastAsia="宋体" w:cs="Arial"/>
          <w:bCs/>
          <w:sz w:val="20"/>
          <w:szCs w:val="20"/>
        </w:rPr>
        <w:t>查勘工作照片</w:t>
      </w:r>
      <w:bookmarkEnd w:id="36"/>
    </w:p>
    <w:p>
      <w:pPr>
        <w:rPr>
          <w:rFonts w:ascii="宋体" w:hAnsi="宋体" w:eastAsia="宋体" w:cs="Arial"/>
          <w:bCs/>
          <w:sz w:val="20"/>
          <w:szCs w:val="20"/>
        </w:rPr>
      </w:pPr>
      <w:r>
        <w:rPr>
          <w:rFonts w:hint="eastAsia" w:ascii="宋体" w:hAnsi="宋体" w:eastAsia="宋体" w:cs="Arial"/>
          <w:bCs/>
          <w:sz w:val="20"/>
          <w:szCs w:val="20"/>
        </w:rPr>
        <w:t>【包含现场会议、检查、检测和资料查阅等相关风险管理活动】</w:t>
      </w:r>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06"/>
        <w:gridCol w:w="4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3" w:hRule="atLeast"/>
        </w:trPr>
        <w:tc>
          <w:tcPr>
            <w:tcW w:w="4106"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c>
          <w:tcPr>
            <w:tcW w:w="4253"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4106"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c>
          <w:tcPr>
            <w:tcW w:w="4253"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bl>
    <w:p>
      <w:pPr>
        <w:rPr>
          <w:rFonts w:ascii="宋体" w:hAnsi="宋体" w:eastAsia="宋体" w:cs="Arial"/>
          <w:bCs/>
          <w:sz w:val="20"/>
          <w:szCs w:val="20"/>
        </w:rPr>
      </w:pPr>
      <w:bookmarkStart w:id="37" w:name="_Toc25075591"/>
      <w:r>
        <w:rPr>
          <w:rFonts w:hint="eastAsia" w:ascii="宋体" w:hAnsi="宋体" w:eastAsia="宋体" w:cs="Arial"/>
          <w:bCs/>
          <w:sz w:val="20"/>
          <w:szCs w:val="20"/>
        </w:rPr>
        <w:t>3</w:t>
      </w:r>
      <w:r>
        <w:rPr>
          <w:rFonts w:ascii="宋体" w:hAnsi="宋体" w:eastAsia="宋体" w:cs="Arial"/>
          <w:bCs/>
          <w:sz w:val="20"/>
          <w:szCs w:val="20"/>
        </w:rPr>
        <w:t>.1.5</w:t>
      </w:r>
      <w:r>
        <w:rPr>
          <w:rFonts w:hint="eastAsia" w:ascii="宋体" w:hAnsi="宋体" w:eastAsia="宋体" w:cs="Arial"/>
          <w:bCs/>
          <w:sz w:val="20"/>
          <w:szCs w:val="20"/>
        </w:rPr>
        <w:t>现场检测</w:t>
      </w:r>
      <w:bookmarkEnd w:id="37"/>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851"/>
        <w:gridCol w:w="1134"/>
        <w:gridCol w:w="1134"/>
        <w:gridCol w:w="1559"/>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构件或项目</w:t>
            </w:r>
          </w:p>
        </w:tc>
        <w:tc>
          <w:tcPr>
            <w:tcW w:w="851"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建筑物</w:t>
            </w:r>
          </w:p>
        </w:tc>
        <w:tc>
          <w:tcPr>
            <w:tcW w:w="1134"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检测部位</w:t>
            </w:r>
          </w:p>
        </w:tc>
        <w:tc>
          <w:tcPr>
            <w:tcW w:w="1134"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检测内容</w:t>
            </w:r>
          </w:p>
        </w:tc>
        <w:tc>
          <w:tcPr>
            <w:tcW w:w="155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2410"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结论与描述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2" w:hRule="atLeast"/>
        </w:trPr>
        <w:tc>
          <w:tcPr>
            <w:tcW w:w="1271" w:type="dxa"/>
          </w:tcPr>
          <w:p>
            <w:pPr>
              <w:spacing w:line="0" w:lineRule="atLeast"/>
              <w:rPr>
                <w:rFonts w:ascii="宋体" w:hAnsi="宋体" w:eastAsia="宋体" w:cs="Times New Roman"/>
                <w:kern w:val="0"/>
                <w:sz w:val="20"/>
                <w:szCs w:val="20"/>
              </w:rPr>
            </w:pPr>
          </w:p>
        </w:tc>
        <w:tc>
          <w:tcPr>
            <w:tcW w:w="851"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559" w:type="dxa"/>
          </w:tcPr>
          <w:p>
            <w:pPr>
              <w:spacing w:line="0" w:lineRule="atLeast"/>
              <w:rPr>
                <w:rFonts w:ascii="宋体" w:hAnsi="宋体" w:eastAsia="宋体" w:cs="Times New Roman"/>
                <w:kern w:val="0"/>
                <w:sz w:val="20"/>
                <w:szCs w:val="20"/>
              </w:rPr>
            </w:pPr>
          </w:p>
        </w:tc>
        <w:tc>
          <w:tcPr>
            <w:tcW w:w="2410"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271" w:type="dxa"/>
          </w:tcPr>
          <w:p>
            <w:pPr>
              <w:spacing w:line="0" w:lineRule="atLeast"/>
              <w:rPr>
                <w:rFonts w:ascii="宋体" w:hAnsi="宋体" w:eastAsia="宋体" w:cs="Times New Roman"/>
                <w:kern w:val="0"/>
                <w:sz w:val="20"/>
                <w:szCs w:val="20"/>
              </w:rPr>
            </w:pPr>
          </w:p>
        </w:tc>
        <w:tc>
          <w:tcPr>
            <w:tcW w:w="851"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559" w:type="dxa"/>
          </w:tcPr>
          <w:p>
            <w:pPr>
              <w:spacing w:line="0" w:lineRule="atLeast"/>
              <w:rPr>
                <w:rFonts w:ascii="宋体" w:hAnsi="宋体" w:eastAsia="宋体" w:cs="Times New Roman"/>
                <w:kern w:val="0"/>
                <w:sz w:val="20"/>
                <w:szCs w:val="20"/>
              </w:rPr>
            </w:pPr>
          </w:p>
        </w:tc>
        <w:tc>
          <w:tcPr>
            <w:tcW w:w="2410" w:type="dxa"/>
          </w:tcPr>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38" w:name="_Toc25075592"/>
      <w:r>
        <w:rPr>
          <w:rFonts w:hint="eastAsia" w:ascii="宋体" w:hAnsi="宋体" w:eastAsia="宋体" w:cs="Arial"/>
          <w:bCs/>
          <w:sz w:val="20"/>
          <w:szCs w:val="20"/>
        </w:rPr>
        <w:t>3</w:t>
      </w:r>
      <w:r>
        <w:rPr>
          <w:rFonts w:ascii="宋体" w:hAnsi="宋体" w:eastAsia="宋体" w:cs="Arial"/>
          <w:bCs/>
          <w:sz w:val="20"/>
          <w:szCs w:val="20"/>
        </w:rPr>
        <w:t>.2</w:t>
      </w:r>
      <w:r>
        <w:rPr>
          <w:rFonts w:hint="eastAsia" w:ascii="宋体" w:hAnsi="宋体" w:eastAsia="宋体" w:cs="Arial"/>
          <w:bCs/>
          <w:sz w:val="20"/>
          <w:szCs w:val="20"/>
        </w:rPr>
        <w:t>风险跟踪</w:t>
      </w:r>
      <w:bookmarkEnd w:id="38"/>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835"/>
        <w:gridCol w:w="2835"/>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风险编号</w:t>
            </w:r>
          </w:p>
        </w:tc>
        <w:tc>
          <w:tcPr>
            <w:tcW w:w="2835"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风险描述</w:t>
            </w:r>
          </w:p>
        </w:tc>
        <w:tc>
          <w:tcPr>
            <w:tcW w:w="2835"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处理情况描述或相关文件</w:t>
            </w:r>
          </w:p>
        </w:tc>
        <w:tc>
          <w:tcPr>
            <w:tcW w:w="1418"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是否可销项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1418" w:type="dxa"/>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1418" w:type="dxa"/>
          </w:tcPr>
          <w:p>
            <w:pPr>
              <w:spacing w:line="0" w:lineRule="atLeast"/>
              <w:rPr>
                <w:rFonts w:ascii="宋体" w:hAnsi="宋体" w:eastAsia="宋体" w:cs="Times New Roman"/>
                <w:bCs/>
                <w:kern w:val="0"/>
                <w:sz w:val="20"/>
                <w:szCs w:val="20"/>
              </w:rPr>
            </w:pPr>
          </w:p>
        </w:tc>
      </w:tr>
    </w:tbl>
    <w:p>
      <w:pPr>
        <w:rPr>
          <w:rFonts w:ascii="宋体" w:hAnsi="宋体" w:eastAsia="宋体" w:cs="Arial"/>
          <w:bCs/>
          <w:sz w:val="20"/>
          <w:szCs w:val="20"/>
        </w:rPr>
      </w:pPr>
      <w:bookmarkStart w:id="39" w:name="_Toc25075595"/>
      <w:r>
        <w:rPr>
          <w:rFonts w:hint="eastAsia" w:ascii="宋体" w:hAnsi="宋体" w:eastAsia="宋体" w:cs="Arial"/>
          <w:bCs/>
          <w:sz w:val="20"/>
          <w:szCs w:val="20"/>
        </w:rPr>
        <w:t>3</w:t>
      </w:r>
      <w:r>
        <w:rPr>
          <w:rFonts w:ascii="宋体" w:hAnsi="宋体" w:eastAsia="宋体" w:cs="Arial"/>
          <w:bCs/>
          <w:sz w:val="20"/>
          <w:szCs w:val="20"/>
        </w:rPr>
        <w:t>.3</w:t>
      </w:r>
      <w:r>
        <w:rPr>
          <w:rFonts w:hint="eastAsia" w:ascii="宋体" w:hAnsi="宋体" w:eastAsia="宋体" w:cs="Arial"/>
          <w:bCs/>
          <w:sz w:val="20"/>
          <w:szCs w:val="20"/>
        </w:rPr>
        <w:t>风险评估</w:t>
      </w:r>
      <w:bookmarkEnd w:id="39"/>
    </w:p>
    <w:p>
      <w:pPr>
        <w:rPr>
          <w:rFonts w:ascii="宋体" w:hAnsi="宋体" w:eastAsia="宋体" w:cs="Arial"/>
          <w:bCs/>
          <w:sz w:val="20"/>
          <w:szCs w:val="20"/>
        </w:rPr>
      </w:pPr>
      <w:bookmarkStart w:id="40" w:name="_Toc25075596"/>
      <w:r>
        <w:rPr>
          <w:rFonts w:hint="eastAsia" w:ascii="宋体" w:hAnsi="宋体" w:eastAsia="宋体" w:cs="Arial"/>
          <w:bCs/>
          <w:sz w:val="20"/>
          <w:szCs w:val="20"/>
        </w:rPr>
        <w:t>3</w:t>
      </w:r>
      <w:r>
        <w:rPr>
          <w:rFonts w:ascii="宋体" w:hAnsi="宋体" w:eastAsia="宋体" w:cs="Arial"/>
          <w:bCs/>
          <w:sz w:val="20"/>
          <w:szCs w:val="20"/>
        </w:rPr>
        <w:t>.3.1</w:t>
      </w:r>
      <w:r>
        <w:rPr>
          <w:rFonts w:hint="eastAsia" w:ascii="宋体" w:hAnsi="宋体" w:eastAsia="宋体" w:cs="Arial"/>
          <w:bCs/>
          <w:sz w:val="20"/>
          <w:szCs w:val="20"/>
        </w:rPr>
        <w:t>缺陷风险列表</w:t>
      </w:r>
      <w:bookmarkEnd w:id="40"/>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4"/>
        <w:gridCol w:w="2437"/>
        <w:gridCol w:w="3118"/>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4"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区域</w:t>
            </w:r>
          </w:p>
        </w:tc>
        <w:tc>
          <w:tcPr>
            <w:tcW w:w="2437"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现场照片</w:t>
            </w:r>
          </w:p>
        </w:tc>
        <w:tc>
          <w:tcPr>
            <w:tcW w:w="3118"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风险描述及风险控制的建议</w:t>
            </w:r>
          </w:p>
        </w:tc>
        <w:tc>
          <w:tcPr>
            <w:tcW w:w="1560"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风险点</w:t>
            </w:r>
            <w:r>
              <w:rPr>
                <w:rFonts w:ascii="宋体" w:hAnsi="宋体" w:eastAsia="宋体" w:cs="Calibri"/>
                <w:kern w:val="0"/>
                <w:sz w:val="20"/>
                <w:szCs w:val="20"/>
              </w:rPr>
              <w:t>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44" w:type="dxa"/>
            <w:vAlign w:val="center"/>
          </w:tcPr>
          <w:p>
            <w:pPr>
              <w:spacing w:line="0" w:lineRule="atLeast"/>
              <w:jc w:val="center"/>
              <w:rPr>
                <w:rFonts w:ascii="宋体" w:hAnsi="宋体" w:eastAsia="宋体" w:cs="Times New Roman"/>
                <w:kern w:val="0"/>
                <w:sz w:val="20"/>
                <w:szCs w:val="20"/>
              </w:rPr>
            </w:pPr>
          </w:p>
        </w:tc>
        <w:tc>
          <w:tcPr>
            <w:tcW w:w="2437" w:type="dxa"/>
            <w:vAlign w:val="center"/>
          </w:tcPr>
          <w:p>
            <w:pPr>
              <w:spacing w:line="0" w:lineRule="atLeast"/>
              <w:jc w:val="center"/>
              <w:rPr>
                <w:rFonts w:ascii="宋体" w:hAnsi="宋体" w:eastAsia="宋体" w:cs="Times New Roman"/>
                <w:kern w:val="0"/>
                <w:sz w:val="20"/>
                <w:szCs w:val="20"/>
              </w:rPr>
            </w:pPr>
          </w:p>
        </w:tc>
        <w:tc>
          <w:tcPr>
            <w:tcW w:w="3118" w:type="dxa"/>
            <w:vAlign w:val="center"/>
          </w:tcPr>
          <w:p>
            <w:pPr>
              <w:spacing w:line="0" w:lineRule="atLeast"/>
              <w:jc w:val="left"/>
              <w:rPr>
                <w:rFonts w:ascii="宋体" w:hAnsi="宋体" w:eastAsia="宋体" w:cs="Calibri"/>
                <w:kern w:val="0"/>
                <w:sz w:val="20"/>
                <w:szCs w:val="20"/>
              </w:rPr>
            </w:pPr>
            <w:r>
              <w:rPr>
                <w:rFonts w:hint="eastAsia" w:ascii="宋体" w:hAnsi="宋体" w:eastAsia="宋体" w:cs="Calibri"/>
                <w:kern w:val="0"/>
                <w:sz w:val="20"/>
                <w:szCs w:val="20"/>
              </w:rPr>
              <w:t>风险描述：</w:t>
            </w:r>
          </w:p>
          <w:p>
            <w:pPr>
              <w:spacing w:line="0" w:lineRule="atLeast"/>
              <w:jc w:val="left"/>
              <w:rPr>
                <w:rFonts w:ascii="宋体" w:hAnsi="宋体" w:eastAsia="宋体" w:cs="Calibri"/>
                <w:kern w:val="0"/>
                <w:sz w:val="20"/>
                <w:szCs w:val="20"/>
              </w:rPr>
            </w:pPr>
            <w:r>
              <w:rPr>
                <w:rFonts w:hint="eastAsia" w:ascii="宋体" w:hAnsi="宋体" w:eastAsia="宋体" w:cs="Calibri"/>
                <w:kern w:val="0"/>
                <w:sz w:val="20"/>
                <w:szCs w:val="20"/>
              </w:rPr>
              <w:t>涉及保单责任：</w:t>
            </w:r>
          </w:p>
          <w:p>
            <w:pPr>
              <w:spacing w:line="0" w:lineRule="atLeast"/>
              <w:jc w:val="left"/>
              <w:rPr>
                <w:rFonts w:ascii="宋体" w:hAnsi="宋体" w:eastAsia="宋体" w:cs="Times New Roman"/>
                <w:kern w:val="0"/>
                <w:sz w:val="20"/>
                <w:szCs w:val="20"/>
              </w:rPr>
            </w:pPr>
            <w:r>
              <w:rPr>
                <w:rFonts w:hint="eastAsia" w:ascii="宋体" w:hAnsi="宋体" w:eastAsia="宋体" w:cs="Calibri"/>
                <w:kern w:val="0"/>
                <w:sz w:val="20"/>
                <w:szCs w:val="20"/>
              </w:rPr>
              <w:t>风险控制建议：</w:t>
            </w:r>
          </w:p>
        </w:tc>
        <w:tc>
          <w:tcPr>
            <w:tcW w:w="1560" w:type="dxa"/>
            <w:vAlign w:val="center"/>
          </w:tcPr>
          <w:p>
            <w:pPr>
              <w:spacing w:line="0" w:lineRule="atLeast"/>
              <w:jc w:val="lef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44" w:type="dxa"/>
            <w:vAlign w:val="center"/>
          </w:tcPr>
          <w:p>
            <w:pPr>
              <w:spacing w:line="0" w:lineRule="atLeast"/>
              <w:jc w:val="center"/>
              <w:rPr>
                <w:rFonts w:ascii="宋体" w:hAnsi="宋体" w:eastAsia="宋体" w:cs="Times New Roman"/>
                <w:kern w:val="0"/>
                <w:sz w:val="20"/>
                <w:szCs w:val="20"/>
              </w:rPr>
            </w:pPr>
          </w:p>
        </w:tc>
        <w:tc>
          <w:tcPr>
            <w:tcW w:w="2437" w:type="dxa"/>
            <w:vAlign w:val="center"/>
          </w:tcPr>
          <w:p>
            <w:pPr>
              <w:spacing w:line="0" w:lineRule="atLeast"/>
              <w:jc w:val="center"/>
              <w:rPr>
                <w:rFonts w:ascii="宋体" w:hAnsi="宋体" w:eastAsia="宋体" w:cs="Times New Roman"/>
                <w:kern w:val="0"/>
                <w:sz w:val="20"/>
                <w:szCs w:val="20"/>
              </w:rPr>
            </w:pPr>
          </w:p>
        </w:tc>
        <w:tc>
          <w:tcPr>
            <w:tcW w:w="3118" w:type="dxa"/>
            <w:vAlign w:val="center"/>
          </w:tcPr>
          <w:p>
            <w:pPr>
              <w:spacing w:line="0" w:lineRule="atLeast"/>
              <w:jc w:val="left"/>
              <w:rPr>
                <w:rFonts w:ascii="宋体" w:hAnsi="宋体" w:eastAsia="宋体" w:cs="Times New Roman"/>
                <w:kern w:val="0"/>
                <w:sz w:val="20"/>
                <w:szCs w:val="20"/>
              </w:rPr>
            </w:pPr>
          </w:p>
        </w:tc>
        <w:tc>
          <w:tcPr>
            <w:tcW w:w="1560" w:type="dxa"/>
            <w:vAlign w:val="center"/>
          </w:tcPr>
          <w:p>
            <w:pPr>
              <w:spacing w:line="0" w:lineRule="atLeast"/>
              <w:jc w:val="left"/>
              <w:rPr>
                <w:rFonts w:ascii="宋体" w:hAnsi="宋体" w:eastAsia="宋体" w:cs="Times New Roman"/>
                <w:kern w:val="0"/>
                <w:sz w:val="20"/>
                <w:szCs w:val="20"/>
              </w:rPr>
            </w:pPr>
          </w:p>
        </w:tc>
      </w:tr>
    </w:tbl>
    <w:p>
      <w:pPr>
        <w:rPr>
          <w:rFonts w:ascii="宋体" w:hAnsi="宋体" w:eastAsia="宋体" w:cs="Arial"/>
          <w:bCs/>
          <w:sz w:val="20"/>
          <w:szCs w:val="20"/>
        </w:rPr>
      </w:pPr>
      <w:bookmarkStart w:id="41" w:name="_Toc25075598"/>
      <w:r>
        <w:rPr>
          <w:rFonts w:hint="eastAsia" w:ascii="宋体" w:hAnsi="宋体" w:eastAsia="宋体" w:cs="Arial"/>
          <w:bCs/>
          <w:sz w:val="20"/>
          <w:szCs w:val="20"/>
        </w:rPr>
        <w:t>3</w:t>
      </w:r>
      <w:r>
        <w:rPr>
          <w:rFonts w:ascii="宋体" w:hAnsi="宋体" w:eastAsia="宋体" w:cs="Arial"/>
          <w:bCs/>
          <w:sz w:val="20"/>
          <w:szCs w:val="20"/>
        </w:rPr>
        <w:t>.3.</w:t>
      </w:r>
      <w:r>
        <w:rPr>
          <w:rFonts w:hint="eastAsia" w:ascii="宋体" w:hAnsi="宋体" w:eastAsia="宋体" w:cs="Arial"/>
          <w:bCs/>
          <w:sz w:val="20"/>
          <w:szCs w:val="20"/>
        </w:rPr>
        <w:t>2质量事故记录</w:t>
      </w:r>
      <w:bookmarkEnd w:id="41"/>
    </w:p>
    <w:p>
      <w:pPr>
        <w:rPr>
          <w:rFonts w:ascii="宋体" w:hAnsi="宋体" w:eastAsia="宋体" w:cs="Arial"/>
          <w:bCs/>
          <w:sz w:val="20"/>
          <w:szCs w:val="20"/>
        </w:rPr>
      </w:pPr>
      <w:r>
        <w:rPr>
          <w:rFonts w:hint="eastAsia" w:ascii="宋体" w:hAnsi="宋体" w:eastAsia="宋体" w:cs="Arial"/>
          <w:bCs/>
          <w:sz w:val="20"/>
          <w:szCs w:val="20"/>
        </w:rPr>
        <w:t>【质量事故是质量缺陷导致的严重后果，按原建设部</w:t>
      </w:r>
      <w:r>
        <w:rPr>
          <w:rFonts w:ascii="宋体" w:hAnsi="宋体" w:eastAsia="宋体" w:cs="Arial"/>
          <w:bCs/>
          <w:sz w:val="20"/>
          <w:szCs w:val="20"/>
        </w:rPr>
        <w:t>建质[2010]111号</w:t>
      </w:r>
      <w:r>
        <w:rPr>
          <w:rFonts w:hint="eastAsia" w:ascii="宋体" w:hAnsi="宋体" w:eastAsia="宋体" w:cs="Arial"/>
          <w:bCs/>
          <w:sz w:val="20"/>
          <w:szCs w:val="20"/>
        </w:rPr>
        <w:t>文件规定】</w:t>
      </w:r>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3827"/>
        <w:gridCol w:w="3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事故编号</w:t>
            </w:r>
          </w:p>
        </w:tc>
        <w:tc>
          <w:tcPr>
            <w:tcW w:w="3827"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事故概述及处理情况描述或相关文件</w:t>
            </w:r>
          </w:p>
        </w:tc>
        <w:tc>
          <w:tcPr>
            <w:tcW w:w="326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衍生风险分析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3827" w:type="dxa"/>
          </w:tcPr>
          <w:p>
            <w:pPr>
              <w:spacing w:line="0" w:lineRule="atLeast"/>
              <w:rPr>
                <w:rFonts w:ascii="宋体" w:hAnsi="宋体" w:eastAsia="宋体" w:cs="Times New Roman"/>
                <w:bCs/>
                <w:kern w:val="0"/>
                <w:sz w:val="20"/>
                <w:szCs w:val="20"/>
              </w:rPr>
            </w:pPr>
          </w:p>
        </w:tc>
        <w:tc>
          <w:tcPr>
            <w:tcW w:w="3261" w:type="dxa"/>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3827" w:type="dxa"/>
          </w:tcPr>
          <w:p>
            <w:pPr>
              <w:spacing w:line="0" w:lineRule="atLeast"/>
              <w:rPr>
                <w:rFonts w:ascii="宋体" w:hAnsi="宋体" w:eastAsia="宋体" w:cs="Times New Roman"/>
                <w:bCs/>
                <w:kern w:val="0"/>
                <w:sz w:val="20"/>
                <w:szCs w:val="20"/>
              </w:rPr>
            </w:pPr>
          </w:p>
        </w:tc>
        <w:tc>
          <w:tcPr>
            <w:tcW w:w="3261" w:type="dxa"/>
          </w:tcPr>
          <w:p>
            <w:pPr>
              <w:spacing w:line="0" w:lineRule="atLeast"/>
              <w:rPr>
                <w:rFonts w:ascii="宋体" w:hAnsi="宋体" w:eastAsia="宋体" w:cs="Times New Roman"/>
                <w:bCs/>
                <w:kern w:val="0"/>
                <w:sz w:val="20"/>
                <w:szCs w:val="20"/>
              </w:rPr>
            </w:pPr>
          </w:p>
        </w:tc>
      </w:tr>
    </w:tbl>
    <w:p>
      <w:pPr>
        <w:rPr>
          <w:rFonts w:ascii="宋体" w:hAnsi="宋体" w:eastAsia="宋体" w:cs="Arial"/>
          <w:bCs/>
          <w:sz w:val="20"/>
          <w:szCs w:val="20"/>
        </w:rPr>
      </w:pPr>
      <w:bookmarkStart w:id="42" w:name="_Toc25075599"/>
      <w:r>
        <w:rPr>
          <w:rFonts w:hint="eastAsia" w:ascii="宋体" w:hAnsi="宋体" w:eastAsia="宋体" w:cs="Arial"/>
          <w:bCs/>
          <w:sz w:val="20"/>
          <w:szCs w:val="20"/>
        </w:rPr>
        <w:t>3</w:t>
      </w:r>
      <w:r>
        <w:rPr>
          <w:rFonts w:ascii="宋体" w:hAnsi="宋体" w:eastAsia="宋体" w:cs="Arial"/>
          <w:bCs/>
          <w:sz w:val="20"/>
          <w:szCs w:val="20"/>
        </w:rPr>
        <w:t>.4</w:t>
      </w:r>
      <w:r>
        <w:rPr>
          <w:rFonts w:hint="eastAsia" w:ascii="宋体" w:hAnsi="宋体" w:eastAsia="宋体" w:cs="Arial"/>
          <w:bCs/>
          <w:sz w:val="20"/>
          <w:szCs w:val="20"/>
        </w:rPr>
        <w:t>查勘工作总结</w:t>
      </w:r>
      <w:bookmarkEnd w:id="42"/>
    </w:p>
    <w:p>
      <w:pPr>
        <w:rPr>
          <w:rFonts w:ascii="宋体" w:hAnsi="宋体" w:eastAsia="宋体" w:cs="Arial"/>
          <w:bCs/>
          <w:sz w:val="20"/>
          <w:szCs w:val="20"/>
        </w:rPr>
      </w:pPr>
      <w:bookmarkStart w:id="43" w:name="_Toc25075600"/>
      <w:r>
        <w:rPr>
          <w:rFonts w:hint="eastAsia" w:ascii="宋体" w:hAnsi="宋体" w:eastAsia="宋体" w:cs="Arial"/>
          <w:bCs/>
          <w:sz w:val="20"/>
          <w:szCs w:val="20"/>
        </w:rPr>
        <w:t>3</w:t>
      </w:r>
      <w:r>
        <w:rPr>
          <w:rFonts w:ascii="宋体" w:hAnsi="宋体" w:eastAsia="宋体" w:cs="Arial"/>
          <w:bCs/>
          <w:sz w:val="20"/>
          <w:szCs w:val="20"/>
        </w:rPr>
        <w:t>.4.1</w:t>
      </w:r>
      <w:r>
        <w:rPr>
          <w:rFonts w:hint="eastAsia" w:ascii="宋体" w:hAnsi="宋体" w:eastAsia="宋体" w:cs="Arial"/>
          <w:bCs/>
          <w:sz w:val="20"/>
          <w:szCs w:val="20"/>
        </w:rPr>
        <w:t>本次查勘缺陷风险标的分布</w:t>
      </w:r>
      <w:bookmarkEnd w:id="43"/>
    </w:p>
    <w:p>
      <w:pPr>
        <w:spacing w:line="0" w:lineRule="atLeast"/>
        <w:jc w:val="center"/>
        <w:rPr>
          <w:rFonts w:ascii="宋体" w:hAnsi="宋体" w:eastAsia="宋体"/>
          <w:sz w:val="20"/>
          <w:szCs w:val="20"/>
        </w:rPr>
      </w:pPr>
      <w:r>
        <w:rPr>
          <w:rFonts w:ascii="宋体" w:hAnsi="宋体" w:eastAsia="宋体" w:cs="宋体"/>
          <w:sz w:val="20"/>
          <w:szCs w:val="20"/>
        </w:rPr>
        <w:pict>
          <v:shape id="_x0000_i1028" o:spt="75" type="#_x0000_t75" style="height:121.35pt;width:417.5pt;" filled="f" o:preferrelative="t" stroked="f" coordsize="21600,21600">
            <v:path/>
            <v:fill on="f" focussize="0,0"/>
            <v:stroke on="f" joinstyle="miter"/>
            <v:imagedata r:id="rId10" o:title=""/>
            <o:lock v:ext="edit" aspectratio="t"/>
            <w10:wrap type="none"/>
            <w10:anchorlock/>
          </v:shape>
        </w:pict>
      </w:r>
    </w:p>
    <w:p>
      <w:pPr>
        <w:jc w:val="center"/>
        <w:rPr>
          <w:rFonts w:ascii="宋体" w:hAnsi="宋体" w:eastAsia="宋体"/>
          <w:sz w:val="20"/>
          <w:szCs w:val="20"/>
        </w:rPr>
      </w:pPr>
      <w:bookmarkStart w:id="44" w:name="_Toc25075602"/>
      <w:r>
        <w:rPr>
          <w:rFonts w:hint="eastAsia" w:ascii="宋体" w:hAnsi="宋体" w:eastAsia="宋体"/>
          <w:sz w:val="20"/>
          <w:szCs w:val="20"/>
        </w:rPr>
        <w:t>（示例）</w:t>
      </w:r>
    </w:p>
    <w:p>
      <w:pPr>
        <w:rPr>
          <w:rFonts w:ascii="宋体" w:hAnsi="宋体" w:eastAsia="宋体" w:cs="Arial"/>
          <w:bCs/>
          <w:sz w:val="20"/>
          <w:szCs w:val="20"/>
        </w:rPr>
      </w:pPr>
    </w:p>
    <w:p>
      <w:pPr>
        <w:rPr>
          <w:rFonts w:ascii="宋体" w:hAnsi="宋体" w:eastAsia="宋体" w:cs="Arial"/>
          <w:bCs/>
          <w:sz w:val="20"/>
          <w:szCs w:val="20"/>
        </w:rPr>
      </w:pPr>
      <w:r>
        <w:rPr>
          <w:rFonts w:hint="eastAsia" w:ascii="宋体" w:hAnsi="宋体" w:eastAsia="宋体" w:cs="Arial"/>
          <w:bCs/>
          <w:sz w:val="20"/>
          <w:szCs w:val="20"/>
        </w:rPr>
        <w:t>3</w:t>
      </w:r>
      <w:r>
        <w:rPr>
          <w:rFonts w:ascii="宋体" w:hAnsi="宋体" w:eastAsia="宋体" w:cs="Arial"/>
          <w:bCs/>
          <w:sz w:val="20"/>
          <w:szCs w:val="20"/>
        </w:rPr>
        <w:t>.4.</w:t>
      </w:r>
      <w:r>
        <w:rPr>
          <w:rFonts w:hint="eastAsia" w:ascii="宋体" w:hAnsi="宋体" w:eastAsia="宋体" w:cs="Arial"/>
          <w:bCs/>
          <w:sz w:val="20"/>
          <w:szCs w:val="20"/>
        </w:rPr>
        <w:t>2结论与建议:</w:t>
      </w:r>
      <w:bookmarkEnd w:id="44"/>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trPr>
        <w:tc>
          <w:tcPr>
            <w:tcW w:w="8359" w:type="dxa"/>
          </w:tcPr>
          <w:p>
            <w:pPr>
              <w:spacing w:line="0" w:lineRule="atLeast"/>
              <w:rPr>
                <w:rFonts w:ascii="宋体" w:hAnsi="宋体" w:eastAsia="宋体" w:cs="Times New Roman"/>
                <w:kern w:val="0"/>
                <w:sz w:val="20"/>
                <w:szCs w:val="20"/>
              </w:rPr>
            </w:pPr>
          </w:p>
          <w:p>
            <w:pPr>
              <w:spacing w:line="0" w:lineRule="atLeast"/>
              <w:rPr>
                <w:rFonts w:ascii="宋体" w:hAnsi="宋体" w:eastAsia="宋体" w:cs="Times New Roman"/>
                <w:kern w:val="0"/>
                <w:sz w:val="20"/>
                <w:szCs w:val="20"/>
              </w:rPr>
            </w:pPr>
          </w:p>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45" w:name="_Toc25075603"/>
      <w:r>
        <w:rPr>
          <w:rFonts w:hint="eastAsia" w:ascii="宋体" w:hAnsi="宋体" w:eastAsia="宋体" w:cs="Arial"/>
          <w:bCs/>
          <w:sz w:val="20"/>
          <w:szCs w:val="20"/>
        </w:rPr>
        <w:t>第四部分：下次查勘工作计划</w:t>
      </w:r>
      <w:bookmarkEnd w:id="45"/>
    </w:p>
    <w:p>
      <w:pPr>
        <w:rPr>
          <w:rFonts w:ascii="宋体" w:hAnsi="宋体" w:eastAsia="宋体" w:cs="Arial"/>
          <w:bCs/>
          <w:sz w:val="20"/>
          <w:szCs w:val="20"/>
        </w:rPr>
      </w:pPr>
      <w:r>
        <w:rPr>
          <w:rFonts w:hint="eastAsia" w:ascii="宋体" w:hAnsi="宋体" w:eastAsia="宋体" w:cs="Arial"/>
          <w:bCs/>
          <w:sz w:val="20"/>
          <w:szCs w:val="20"/>
        </w:rPr>
        <w:t>计划查勘日期:</w:t>
      </w:r>
    </w:p>
    <w:p>
      <w:pPr>
        <w:rPr>
          <w:rFonts w:ascii="宋体" w:hAnsi="宋体" w:eastAsia="宋体" w:cs="Arial"/>
          <w:bCs/>
          <w:sz w:val="20"/>
          <w:szCs w:val="20"/>
        </w:rPr>
      </w:pPr>
      <w:r>
        <w:rPr>
          <w:rFonts w:hint="eastAsia" w:ascii="宋体" w:hAnsi="宋体" w:eastAsia="宋体" w:cs="Arial"/>
          <w:bCs/>
          <w:sz w:val="20"/>
          <w:szCs w:val="20"/>
        </w:rPr>
        <w:t>计划查勘内容:</w:t>
      </w:r>
    </w:p>
    <w:tbl>
      <w:tblPr>
        <w:tblStyle w:val="23"/>
        <w:tblW w:w="83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9"/>
        <w:gridCol w:w="491"/>
        <w:gridCol w:w="2384"/>
        <w:gridCol w:w="1276"/>
        <w:gridCol w:w="567"/>
        <w:gridCol w:w="25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blHeader/>
        </w:trPr>
        <w:tc>
          <w:tcPr>
            <w:tcW w:w="1089"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检查要素</w:t>
            </w:r>
          </w:p>
        </w:tc>
        <w:tc>
          <w:tcPr>
            <w:tcW w:w="491" w:type="dxa"/>
            <w:vAlign w:val="center"/>
          </w:tcPr>
          <w:p>
            <w:pPr>
              <w:jc w:val="center"/>
              <w:rPr>
                <w:rFonts w:ascii="宋体" w:hAnsi="宋体" w:eastAsia="宋体" w:cs="宋体"/>
                <w:color w:val="000000"/>
                <w:sz w:val="16"/>
                <w:szCs w:val="16"/>
              </w:rPr>
            </w:pPr>
          </w:p>
        </w:tc>
        <w:tc>
          <w:tcPr>
            <w:tcW w:w="2384"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检查部位</w:t>
            </w:r>
          </w:p>
        </w:tc>
        <w:tc>
          <w:tcPr>
            <w:tcW w:w="1276"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检查要素</w:t>
            </w:r>
          </w:p>
        </w:tc>
        <w:tc>
          <w:tcPr>
            <w:tcW w:w="567" w:type="dxa"/>
            <w:vAlign w:val="center"/>
          </w:tcPr>
          <w:p>
            <w:pPr>
              <w:jc w:val="center"/>
              <w:rPr>
                <w:rFonts w:ascii="宋体" w:hAnsi="宋体" w:eastAsia="宋体" w:cs="宋体"/>
                <w:color w:val="000000"/>
                <w:sz w:val="16"/>
                <w:szCs w:val="16"/>
              </w:rPr>
            </w:pPr>
          </w:p>
        </w:tc>
        <w:tc>
          <w:tcPr>
            <w:tcW w:w="2526"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检查部位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质量管理</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模板工程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材料检测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钢筋工程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施工资料</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钢结构工程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监理资料</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装配式工程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　</w:t>
            </w:r>
          </w:p>
        </w:tc>
        <w:tc>
          <w:tcPr>
            <w:tcW w:w="491" w:type="dxa"/>
            <w:tcBorders>
              <w:bottom w:val="single" w:color="000000" w:sz="4" w:space="0"/>
            </w:tcBorders>
            <w:shd w:val="clear" w:color="auto" w:fill="auto"/>
            <w:vAlign w:val="center"/>
          </w:tcPr>
          <w:p>
            <w:pPr>
              <w:jc w:val="center"/>
              <w:rPr>
                <w:rFonts w:ascii="宋体" w:hAnsi="宋体" w:eastAsia="宋体" w:cs="宋体"/>
                <w:color w:val="000000"/>
                <w:sz w:val="16"/>
                <w:szCs w:val="16"/>
              </w:rPr>
            </w:pPr>
          </w:p>
        </w:tc>
        <w:tc>
          <w:tcPr>
            <w:tcW w:w="2384" w:type="dxa"/>
            <w:tcBorders>
              <w:bottom w:val="single" w:color="000000" w:sz="4" w:space="0"/>
            </w:tcBorders>
            <w:shd w:val="clear" w:color="auto" w:fill="auto"/>
            <w:vAlign w:val="center"/>
          </w:tcPr>
          <w:p>
            <w:pPr>
              <w:rPr>
                <w:rFonts w:ascii="宋体" w:hAnsi="宋体" w:eastAsia="宋体" w:cs="宋体"/>
                <w:color w:val="000000"/>
                <w:sz w:val="20"/>
                <w:szCs w:val="20"/>
              </w:rPr>
            </w:pPr>
          </w:p>
        </w:tc>
        <w:tc>
          <w:tcPr>
            <w:tcW w:w="1276" w:type="dxa"/>
            <w:tcBorders>
              <w:bottom w:val="single" w:color="000000" w:sz="4" w:space="0"/>
            </w:tcBorders>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混凝土工程</w:t>
            </w:r>
          </w:p>
        </w:tc>
        <w:tc>
          <w:tcPr>
            <w:tcW w:w="567" w:type="dxa"/>
            <w:tcBorders>
              <w:bottom w:val="single" w:color="000000" w:sz="4" w:space="0"/>
            </w:tcBorders>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tcBorders>
              <w:bottom w:val="single" w:color="000000" w:sz="4" w:space="0"/>
            </w:tcBorders>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建筑场地</w:t>
            </w:r>
          </w:p>
        </w:tc>
        <w:tc>
          <w:tcPr>
            <w:tcW w:w="491"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vAlign w:val="center"/>
          </w:tcPr>
          <w:p>
            <w:pPr>
              <w:rPr>
                <w:rFonts w:ascii="宋体" w:hAnsi="宋体" w:eastAsia="宋体" w:cs="宋体"/>
                <w:color w:val="000000"/>
                <w:sz w:val="20"/>
                <w:szCs w:val="20"/>
              </w:rPr>
            </w:pPr>
          </w:p>
        </w:tc>
        <w:tc>
          <w:tcPr>
            <w:tcW w:w="1276" w:type="dxa"/>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围护结构</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工程放线</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p>
        </w:tc>
        <w:tc>
          <w:tcPr>
            <w:tcW w:w="567" w:type="dxa"/>
            <w:vAlign w:val="center"/>
          </w:tcPr>
          <w:p>
            <w:pPr>
              <w:jc w:val="center"/>
              <w:rPr>
                <w:rFonts w:ascii="宋体" w:hAnsi="宋体" w:eastAsia="宋体" w:cs="宋体"/>
                <w:color w:val="000000"/>
                <w:sz w:val="16"/>
                <w:szCs w:val="16"/>
              </w:rPr>
            </w:pP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桩基工程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防水保温</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基础工程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二次结构</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土方工程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1"/>
                    <w:checked/>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安装工程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基坑围护</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装修工程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bl>
    <w:p>
      <w:pPr>
        <w:rPr>
          <w:rFonts w:ascii="宋体" w:hAnsi="宋体" w:eastAsia="宋体" w:cs="Arial"/>
          <w:bCs/>
          <w:sz w:val="20"/>
          <w:szCs w:val="20"/>
        </w:rPr>
      </w:pPr>
      <w:r>
        <w:rPr>
          <w:rFonts w:hint="eastAsia" w:ascii="宋体" w:hAnsi="宋体" w:eastAsia="宋体" w:cs="Arial"/>
          <w:bCs/>
          <w:sz w:val="20"/>
          <w:szCs w:val="20"/>
        </w:rPr>
        <w:t>附件：施工组织设计的风险评估</w:t>
      </w:r>
    </w:p>
    <w:p>
      <w:pPr>
        <w:rPr>
          <w:rFonts w:ascii="宋体" w:hAnsi="宋体" w:eastAsia="宋体" w:cs="Arial"/>
          <w:bCs/>
          <w:sz w:val="20"/>
          <w:szCs w:val="20"/>
        </w:rPr>
      </w:pPr>
      <w:r>
        <w:rPr>
          <w:rFonts w:hint="eastAsia" w:ascii="宋体" w:hAnsi="宋体" w:eastAsia="宋体" w:cs="Arial"/>
          <w:bCs/>
          <w:sz w:val="20"/>
          <w:szCs w:val="20"/>
        </w:rPr>
        <w:t>【本附件为针对施工组织设计、专项施工方案的风险评估内容，仅在首次现场查勘前出具，并在现场会议中通过沟通协调等方式，明确风险应对措施。】</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4"/>
        <w:gridCol w:w="1336"/>
        <w:gridCol w:w="1874"/>
        <w:gridCol w:w="2221"/>
        <w:gridCol w:w="2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序号</w:t>
            </w:r>
          </w:p>
        </w:tc>
        <w:tc>
          <w:tcPr>
            <w:tcW w:w="1336"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分项工程</w:t>
            </w:r>
          </w:p>
        </w:tc>
        <w:tc>
          <w:tcPr>
            <w:tcW w:w="1874"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基本描述</w:t>
            </w:r>
          </w:p>
        </w:tc>
        <w:tc>
          <w:tcPr>
            <w:tcW w:w="2221"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风险分析</w:t>
            </w:r>
          </w:p>
        </w:tc>
        <w:tc>
          <w:tcPr>
            <w:tcW w:w="2221"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风险应对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工程放线</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桩基工程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基础工程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土方工程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基坑围护</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模板工程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钢筋工程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钢结构工程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装配式工程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混凝土工程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围护结构</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防水工程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保温工程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二次结构</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安装工程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装修工程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bl>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46" w:name="_Toc58848584"/>
      <w:bookmarkStart w:id="47" w:name="_Toc47016326"/>
      <w:r>
        <w:rPr>
          <w:rFonts w:hint="eastAsia" w:ascii="宋体" w:hAnsi="宋体"/>
        </w:rPr>
        <w:t>附录</w:t>
      </w:r>
      <w:r>
        <w:rPr>
          <w:rFonts w:ascii="宋体" w:hAnsi="宋体"/>
        </w:rPr>
        <w:t xml:space="preserve">D  </w:t>
      </w:r>
      <w:r>
        <w:rPr>
          <w:rFonts w:hint="eastAsia"/>
        </w:rPr>
        <w:t>质量缺陷风险总体评估报告</w:t>
      </w:r>
      <w:bookmarkEnd w:id="46"/>
    </w:p>
    <w:p>
      <w:pPr>
        <w:jc w:val="center"/>
        <w:rPr>
          <w:rFonts w:ascii="宋体" w:hAnsi="宋体" w:eastAsia="宋体"/>
          <w:b/>
          <w:sz w:val="28"/>
          <w:szCs w:val="28"/>
        </w:rPr>
      </w:pPr>
      <w:r>
        <w:rPr>
          <w:rFonts w:ascii="宋体" w:hAnsi="宋体" w:eastAsia="宋体"/>
          <w:b/>
          <w:sz w:val="28"/>
          <w:szCs w:val="28"/>
        </w:rPr>
        <w:t xml:space="preserve">RA7.1  </w:t>
      </w:r>
      <w:r>
        <w:rPr>
          <w:rFonts w:hint="eastAsia" w:ascii="宋体" w:hAnsi="宋体" w:eastAsia="宋体"/>
          <w:b/>
          <w:sz w:val="28"/>
          <w:szCs w:val="28"/>
        </w:rPr>
        <w:t>质量缺陷风险总体评估报告</w:t>
      </w:r>
      <w:bookmarkEnd w:id="47"/>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1"/>
        <w:gridCol w:w="1499"/>
        <w:gridCol w:w="2539"/>
        <w:gridCol w:w="29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项目名称</w:t>
            </w:r>
            <w:r>
              <w:rPr>
                <w:rFonts w:hint="eastAsia"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建设单位：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勘察单位</w:t>
            </w:r>
            <w:r>
              <w:rPr>
                <w:rFonts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设计单位：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总</w:t>
            </w:r>
            <w:r>
              <w:rPr>
                <w:rFonts w:hint="eastAsia" w:ascii="宋体" w:hAnsi="宋体" w:eastAsia="宋体" w:cs="Times New Roman"/>
                <w:bCs/>
                <w:kern w:val="0"/>
                <w:sz w:val="20"/>
                <w:szCs w:val="20"/>
              </w:rPr>
              <w:t>包</w:t>
            </w:r>
            <w:r>
              <w:rPr>
                <w:rFonts w:ascii="宋体" w:hAnsi="宋体" w:eastAsia="宋体" w:cs="Times New Roman"/>
                <w:bCs/>
                <w:kern w:val="0"/>
                <w:sz w:val="20"/>
                <w:szCs w:val="20"/>
              </w:rPr>
              <w:t>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restart"/>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专项工程分包单位</w:t>
            </w: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创新体系</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地基处理</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装配式结构</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幕墙工程</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监理</w:t>
            </w:r>
            <w:r>
              <w:rPr>
                <w:rFonts w:hint="eastAsia" w:ascii="宋体" w:hAnsi="宋体" w:eastAsia="宋体" w:cs="Times New Roman"/>
                <w:bCs/>
                <w:kern w:val="0"/>
                <w:sz w:val="20"/>
                <w:szCs w:val="20"/>
              </w:rPr>
              <w:t>单位</w:t>
            </w:r>
            <w:r>
              <w:rPr>
                <w:rFonts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保险公司：</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69" w:type="dxa"/>
            <w:gridSpan w:val="3"/>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 xml:space="preserve">计划开工时间： </w:t>
            </w:r>
            <w:r>
              <w:rPr>
                <w:rFonts w:ascii="宋体" w:hAnsi="宋体" w:eastAsia="宋体" w:cs="Times New Roman"/>
                <w:bCs/>
                <w:kern w:val="0"/>
                <w:sz w:val="20"/>
                <w:szCs w:val="20"/>
              </w:rPr>
              <w:t xml:space="preserve">                     </w:t>
            </w:r>
          </w:p>
        </w:tc>
        <w:tc>
          <w:tcPr>
            <w:tcW w:w="2927"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计划竣工时间：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gridSpan w:val="4"/>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风险管理机构介入时间：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gridSpan w:val="4"/>
          </w:tcPr>
          <w:p>
            <w:pPr>
              <w:widowControl/>
              <w:jc w:val="left"/>
              <w:rPr>
                <w:rFonts w:ascii="Segoe UI Symbol" w:hAnsi="Segoe UI Symbol" w:eastAsia="宋体" w:cs="Segoe UI Symbol"/>
                <w:bCs/>
                <w:kern w:val="0"/>
                <w:sz w:val="20"/>
                <w:szCs w:val="20"/>
              </w:rPr>
            </w:pPr>
            <w:r>
              <w:rPr>
                <w:rFonts w:hint="eastAsia" w:ascii="宋体" w:hAnsi="宋体" w:eastAsia="宋体" w:cs="Times New Roman"/>
                <w:bCs/>
                <w:kern w:val="0"/>
                <w:sz w:val="20"/>
                <w:szCs w:val="20"/>
              </w:rPr>
              <w:t>风险管理机构介入时项目处于以下阶段：</w:t>
            </w:r>
          </w:p>
          <w:p>
            <w:pPr>
              <w:widowControl/>
              <w:jc w:val="left"/>
              <w:rPr>
                <w:rFonts w:ascii="宋体" w:hAnsi="宋体" w:eastAsia="宋体" w:cs="Times New Roman"/>
                <w:bCs/>
                <w:kern w:val="0"/>
                <w:sz w:val="20"/>
                <w:szCs w:val="20"/>
              </w:rPr>
            </w:pP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勘察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设计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施工准备  ■</w:t>
            </w:r>
            <w:r>
              <w:rPr>
                <w:rFonts w:ascii="宋体" w:hAnsi="宋体" w:eastAsia="宋体" w:cs="Times New Roman"/>
                <w:bCs/>
                <w:kern w:val="0"/>
                <w:sz w:val="20"/>
                <w:szCs w:val="20"/>
              </w:rPr>
              <w:t>桩基</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基础</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主体</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机电</w:t>
            </w:r>
            <w:r>
              <w:rPr>
                <w:rFonts w:hint="eastAsia" w:ascii="宋体" w:hAnsi="宋体" w:eastAsia="宋体" w:cs="Times New Roman"/>
                <w:bCs/>
                <w:kern w:val="0"/>
                <w:sz w:val="20"/>
                <w:szCs w:val="20"/>
              </w:rPr>
              <w:t xml:space="preserve">安装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装修</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竣工</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rPr>
                <w:rFonts w:ascii="宋体" w:hAnsi="宋体" w:eastAsia="宋体" w:cs="Times New Roman"/>
                <w:bCs/>
                <w:kern w:val="0"/>
                <w:sz w:val="20"/>
                <w:szCs w:val="20"/>
              </w:rPr>
            </w:pPr>
            <w:r>
              <w:rPr>
                <w:rFonts w:hint="eastAsia" w:ascii="宋体" w:hAnsi="宋体" w:eastAsia="宋体" w:cs="Times New Roman"/>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rPr>
                <w:rFonts w:ascii="宋体" w:hAnsi="宋体" w:eastAsia="宋体" w:cs="Times New Roman"/>
                <w:bCs/>
                <w:kern w:val="0"/>
                <w:sz w:val="20"/>
                <w:szCs w:val="20"/>
              </w:rPr>
            </w:pPr>
            <w:r>
              <w:rPr>
                <w:rFonts w:hint="eastAsia" w:ascii="宋体" w:hAnsi="宋体" w:eastAsia="宋体" w:cs="Times New Roman"/>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单体数量：</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二</w:t>
      </w:r>
      <w:r>
        <w:rPr>
          <w:rFonts w:ascii="宋体" w:hAnsi="宋体" w:eastAsia="宋体"/>
          <w:sz w:val="20"/>
          <w:szCs w:val="20"/>
        </w:rPr>
        <w:t>部分：</w:t>
      </w:r>
      <w:r>
        <w:rPr>
          <w:rFonts w:hint="eastAsia" w:ascii="宋体" w:hAnsi="宋体" w:eastAsia="宋体"/>
          <w:sz w:val="20"/>
          <w:szCs w:val="20"/>
        </w:rPr>
        <w:t>技术文件资料</w:t>
      </w:r>
    </w:p>
    <w:p>
      <w:pPr>
        <w:rPr>
          <w:rFonts w:ascii="宋体" w:hAnsi="宋体" w:eastAsia="宋体"/>
          <w:sz w:val="20"/>
          <w:szCs w:val="20"/>
        </w:rPr>
      </w:pPr>
      <w:r>
        <w:rPr>
          <w:rFonts w:ascii="宋体" w:hAnsi="宋体" w:eastAsia="宋体"/>
          <w:sz w:val="20"/>
          <w:szCs w:val="20"/>
        </w:rPr>
        <w:t>2.1</w:t>
      </w:r>
      <w:r>
        <w:rPr>
          <w:rFonts w:hint="eastAsia" w:ascii="宋体" w:hAnsi="宋体" w:eastAsia="宋体"/>
          <w:sz w:val="20"/>
          <w:szCs w:val="20"/>
        </w:rPr>
        <w:t>风险管理需要的文件资料</w:t>
      </w:r>
    </w:p>
    <w:p>
      <w:pPr>
        <w:rPr>
          <w:rFonts w:ascii="宋体" w:hAnsi="宋体" w:eastAsia="宋体"/>
          <w:sz w:val="20"/>
          <w:szCs w:val="20"/>
        </w:rPr>
      </w:pPr>
      <w:r>
        <w:rPr>
          <w:rFonts w:ascii="宋体" w:hAnsi="宋体" w:eastAsia="宋体"/>
          <w:sz w:val="20"/>
          <w:szCs w:val="20"/>
        </w:rPr>
        <w:t>2.1.1</w:t>
      </w:r>
      <w:r>
        <w:rPr>
          <w:rFonts w:hint="eastAsia" w:ascii="宋体" w:hAnsi="宋体" w:eastAsia="宋体"/>
          <w:sz w:val="20"/>
          <w:szCs w:val="20"/>
        </w:rPr>
        <w:t>勘察设计文件</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709"/>
        <w:gridCol w:w="709"/>
        <w:gridCol w:w="850"/>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资料名称</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是否齐全</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资料来源</w:t>
            </w:r>
          </w:p>
        </w:tc>
        <w:tc>
          <w:tcPr>
            <w:tcW w:w="85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T</w:t>
            </w:r>
            <w:r>
              <w:rPr>
                <w:rFonts w:ascii="宋体" w:hAnsi="宋体" w:eastAsia="宋体" w:cs="Times New Roman"/>
                <w:bCs/>
                <w:kern w:val="0"/>
                <w:sz w:val="20"/>
                <w:szCs w:val="20"/>
              </w:rPr>
              <w:t>IS</w:t>
            </w:r>
            <w:r>
              <w:rPr>
                <w:rFonts w:hint="eastAsia" w:ascii="宋体" w:hAnsi="宋体" w:eastAsia="宋体" w:cs="Times New Roman"/>
                <w:bCs/>
                <w:kern w:val="0"/>
                <w:sz w:val="20"/>
                <w:szCs w:val="20"/>
              </w:rPr>
              <w:t>接受日期</w:t>
            </w:r>
          </w:p>
        </w:tc>
        <w:tc>
          <w:tcPr>
            <w:tcW w:w="93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jc w:val="left"/>
              <w:rPr>
                <w:rFonts w:ascii="宋体" w:hAnsi="宋体" w:eastAsia="宋体" w:cs="Times New Roman"/>
                <w:bCs/>
                <w:kern w:val="0"/>
                <w:sz w:val="20"/>
                <w:szCs w:val="20"/>
              </w:rPr>
            </w:pPr>
            <w:r>
              <w:rPr>
                <w:rFonts w:hint="eastAsia" w:ascii="宋体" w:hAnsi="宋体" w:eastAsia="宋体" w:cs="Times New Roman"/>
                <w:kern w:val="0"/>
                <w:sz w:val="20"/>
                <w:szCs w:val="20"/>
              </w:rPr>
              <w:t>参建单位（建设、勘察、设计）资质、营业执照、质量管理体系等</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初步设计文件审查意见</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岩土工程勘察报告</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施工图设计图纸文件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5</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各专业设计计算书</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6</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设计交底文件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7</w:t>
            </w:r>
          </w:p>
        </w:tc>
        <w:tc>
          <w:tcPr>
            <w:tcW w:w="4523" w:type="dxa"/>
            <w:vAlign w:val="center"/>
          </w:tcPr>
          <w:p>
            <w:pPr>
              <w:widowControl/>
              <w:jc w:val="left"/>
              <w:rPr>
                <w:rFonts w:ascii="宋体" w:hAnsi="宋体" w:eastAsia="宋体" w:cs="Times New Roman"/>
                <w:kern w:val="0"/>
                <w:sz w:val="20"/>
                <w:szCs w:val="20"/>
              </w:rPr>
            </w:pPr>
            <w:r>
              <w:rPr>
                <w:rFonts w:ascii="宋体" w:hAnsi="宋体" w:eastAsia="宋体" w:cs="Times New Roman"/>
                <w:kern w:val="0"/>
                <w:sz w:val="20"/>
                <w:szCs w:val="20"/>
              </w:rPr>
              <w:t>设计变更图纸或文件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ascii="宋体" w:hAnsi="宋体" w:eastAsia="宋体"/>
          <w:sz w:val="20"/>
          <w:szCs w:val="20"/>
        </w:rPr>
        <w:t>2.1.2</w:t>
      </w:r>
      <w:r>
        <w:rPr>
          <w:rFonts w:hint="eastAsia" w:ascii="宋体" w:hAnsi="宋体" w:eastAsia="宋体"/>
          <w:sz w:val="20"/>
          <w:szCs w:val="20"/>
        </w:rPr>
        <w:t>施工技术文件</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709"/>
        <w:gridCol w:w="709"/>
        <w:gridCol w:w="850"/>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资料名称</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是否齐全</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资料来源</w:t>
            </w:r>
          </w:p>
        </w:tc>
        <w:tc>
          <w:tcPr>
            <w:tcW w:w="85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T</w:t>
            </w:r>
            <w:r>
              <w:rPr>
                <w:rFonts w:ascii="宋体" w:hAnsi="宋体" w:eastAsia="宋体" w:cs="Times New Roman"/>
                <w:bCs/>
                <w:kern w:val="0"/>
                <w:sz w:val="20"/>
                <w:szCs w:val="20"/>
              </w:rPr>
              <w:t>IS</w:t>
            </w:r>
            <w:r>
              <w:rPr>
                <w:rFonts w:hint="eastAsia" w:ascii="宋体" w:hAnsi="宋体" w:eastAsia="宋体" w:cs="Times New Roman"/>
                <w:bCs/>
                <w:kern w:val="0"/>
                <w:sz w:val="20"/>
                <w:szCs w:val="20"/>
              </w:rPr>
              <w:t>接受日期</w:t>
            </w:r>
          </w:p>
        </w:tc>
        <w:tc>
          <w:tcPr>
            <w:tcW w:w="93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参建单位（施工、监理、材料供应、构配件生产）资质、营业执照、质量管理体系等</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施工组织设计</w:t>
            </w:r>
            <w:r>
              <w:rPr>
                <w:rFonts w:ascii="宋体" w:hAnsi="宋体" w:eastAsia="宋体" w:cs="Times New Roman"/>
                <w:kern w:val="0"/>
                <w:sz w:val="20"/>
                <w:szCs w:val="20"/>
              </w:rPr>
              <w:t>（</w:t>
            </w:r>
            <w:r>
              <w:rPr>
                <w:rFonts w:hint="eastAsia" w:ascii="宋体" w:hAnsi="宋体" w:eastAsia="宋体" w:cs="Times New Roman"/>
                <w:kern w:val="0"/>
                <w:sz w:val="20"/>
                <w:szCs w:val="20"/>
              </w:rPr>
              <w:t>含施工专项方案</w:t>
            </w:r>
            <w:r>
              <w:rPr>
                <w:rFonts w:ascii="宋体" w:hAnsi="宋体" w:eastAsia="宋体" w:cs="Times New Roman"/>
                <w:kern w:val="0"/>
                <w:sz w:val="20"/>
                <w:szCs w:val="20"/>
              </w:rPr>
              <w:t>）</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施工进度计划</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施工记录文件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5</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施工质量验收资料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6</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试验、检测、监测资料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7</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监理资料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8</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工程造价文件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ascii="宋体" w:hAnsi="宋体" w:eastAsia="宋体"/>
          <w:sz w:val="20"/>
          <w:szCs w:val="20"/>
        </w:rPr>
        <w:t>2.1.3</w:t>
      </w:r>
      <w:r>
        <w:rPr>
          <w:rFonts w:hint="eastAsia" w:ascii="宋体" w:hAnsi="宋体" w:eastAsia="宋体"/>
          <w:sz w:val="20"/>
          <w:szCs w:val="20"/>
        </w:rPr>
        <w:t>质量事故记录汇总</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7"/>
        <w:gridCol w:w="3484"/>
        <w:gridCol w:w="37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3484" w:type="dxa"/>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相关文件</w:t>
            </w:r>
          </w:p>
        </w:tc>
        <w:tc>
          <w:tcPr>
            <w:tcW w:w="3765" w:type="dxa"/>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事故概述及处理情况描述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.2</w:t>
      </w:r>
      <w:r>
        <w:rPr>
          <w:rFonts w:hint="eastAsia" w:ascii="宋体" w:hAnsi="宋体" w:eastAsia="宋体"/>
          <w:sz w:val="20"/>
          <w:szCs w:val="20"/>
        </w:rPr>
        <w:t>出具的管理性文件</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1418"/>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文件名称</w:t>
            </w:r>
          </w:p>
        </w:tc>
        <w:tc>
          <w:tcPr>
            <w:tcW w:w="1418"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出具日期</w:t>
            </w:r>
          </w:p>
        </w:tc>
        <w:tc>
          <w:tcPr>
            <w:tcW w:w="184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r>
              <w:rPr>
                <w:rFonts w:ascii="宋体" w:hAnsi="宋体" w:eastAsia="宋体" w:cs="Times New Roman"/>
                <w:iCs/>
                <w:kern w:val="0"/>
                <w:sz w:val="20"/>
                <w:szCs w:val="20"/>
              </w:rPr>
              <w:t>工程质量风险管理服务授权书</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iCs/>
                <w:kern w:val="0"/>
                <w:sz w:val="20"/>
                <w:szCs w:val="20"/>
              </w:rPr>
              <w:t>风险管理服务工作计划</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iCs/>
                <w:kern w:val="0"/>
                <w:sz w:val="20"/>
                <w:szCs w:val="20"/>
              </w:rPr>
              <w:t>专题风险分析报告</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.3</w:t>
      </w:r>
      <w:r>
        <w:rPr>
          <w:rFonts w:hint="eastAsia" w:ascii="宋体" w:hAnsi="宋体" w:eastAsia="宋体"/>
          <w:sz w:val="20"/>
          <w:szCs w:val="20"/>
        </w:rPr>
        <w:t>出具的过程检查报告</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1418"/>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文件编号</w:t>
            </w:r>
          </w:p>
        </w:tc>
        <w:tc>
          <w:tcPr>
            <w:tcW w:w="1418"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出具日期</w:t>
            </w:r>
          </w:p>
        </w:tc>
        <w:tc>
          <w:tcPr>
            <w:tcW w:w="184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.4</w:t>
      </w:r>
      <w:r>
        <w:rPr>
          <w:rFonts w:hint="eastAsia" w:ascii="宋体" w:hAnsi="宋体" w:eastAsia="宋体"/>
          <w:sz w:val="20"/>
          <w:szCs w:val="20"/>
        </w:rPr>
        <w:t>出具的风险评估报告</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4889"/>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769" w:type="dxa"/>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报告编号</w:t>
            </w:r>
          </w:p>
        </w:tc>
        <w:tc>
          <w:tcPr>
            <w:tcW w:w="4889" w:type="dxa"/>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出具报告明细</w:t>
            </w:r>
          </w:p>
        </w:tc>
        <w:tc>
          <w:tcPr>
            <w:tcW w:w="1701" w:type="dxa"/>
          </w:tcPr>
          <w:p>
            <w:pPr>
              <w:jc w:val="center"/>
              <w:rPr>
                <w:rFonts w:ascii="宋体" w:hAnsi="宋体" w:eastAsia="宋体" w:cs="Times New Roman"/>
                <w:bCs/>
                <w:kern w:val="0"/>
                <w:sz w:val="20"/>
                <w:szCs w:val="20"/>
              </w:rPr>
            </w:pPr>
            <w:r>
              <w:rPr>
                <w:rFonts w:hint="eastAsia" w:ascii="宋体" w:hAnsi="宋体" w:eastAsia="宋体" w:cs="Times New Roman"/>
                <w:sz w:val="20"/>
                <w:szCs w:val="20"/>
              </w:rPr>
              <w:t>出具日期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RA1.0</w:t>
            </w:r>
          </w:p>
        </w:tc>
        <w:tc>
          <w:tcPr>
            <w:tcW w:w="4889" w:type="dxa"/>
          </w:tcPr>
          <w:p>
            <w:pPr>
              <w:rPr>
                <w:rFonts w:ascii="宋体" w:hAnsi="宋体" w:eastAsia="宋体" w:cs="Times New Roman"/>
                <w:kern w:val="0"/>
                <w:sz w:val="20"/>
                <w:szCs w:val="20"/>
              </w:rPr>
            </w:pPr>
            <w:r>
              <w:rPr>
                <w:rFonts w:hint="eastAsia" w:ascii="宋体" w:hAnsi="宋体" w:eastAsia="宋体" w:cs="Arial"/>
                <w:kern w:val="0"/>
                <w:sz w:val="20"/>
                <w:szCs w:val="20"/>
              </w:rPr>
              <w:t>风险</w:t>
            </w:r>
            <w:r>
              <w:rPr>
                <w:rFonts w:ascii="宋体" w:hAnsi="宋体" w:eastAsia="宋体" w:cs="Arial"/>
                <w:kern w:val="0"/>
                <w:sz w:val="20"/>
                <w:szCs w:val="20"/>
              </w:rPr>
              <w:t>初步</w:t>
            </w:r>
            <w:r>
              <w:rPr>
                <w:rFonts w:hint="eastAsia" w:ascii="宋体" w:hAnsi="宋体" w:eastAsia="宋体" w:cs="Arial"/>
                <w:kern w:val="0"/>
                <w:sz w:val="20"/>
                <w:szCs w:val="20"/>
              </w:rPr>
              <w:t>识别</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vAlign w:val="center"/>
          </w:tcPr>
          <w:p>
            <w:pPr>
              <w:rPr>
                <w:rFonts w:ascii="宋体" w:hAnsi="宋体" w:eastAsia="宋体" w:cs="Arial"/>
                <w:kern w:val="0"/>
                <w:sz w:val="20"/>
                <w:szCs w:val="20"/>
              </w:rPr>
            </w:pPr>
            <w:r>
              <w:rPr>
                <w:rFonts w:hint="eastAsia" w:ascii="宋体" w:hAnsi="宋体" w:eastAsia="宋体" w:cs="Arial"/>
                <w:bCs/>
                <w:kern w:val="0"/>
                <w:sz w:val="20"/>
                <w:szCs w:val="20"/>
              </w:rPr>
              <w:t>勘察设计阶段的风险评估报告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场地环境与地基基础工程设计的风险评估报告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主体结构设计的风险评估报告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防水保温工程设计的风险评估报告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hint="eastAsia" w:ascii="宋体" w:hAnsi="宋体" w:eastAsia="宋体" w:cs="Arial"/>
                <w:kern w:val="0"/>
                <w:sz w:val="20"/>
                <w:szCs w:val="20"/>
              </w:rPr>
              <w:t>R</w:t>
            </w:r>
            <w:r>
              <w:rPr>
                <w:rFonts w:ascii="宋体" w:hAnsi="宋体" w:eastAsia="宋体" w:cs="Arial"/>
                <w:kern w:val="0"/>
                <w:sz w:val="20"/>
                <w:szCs w:val="20"/>
              </w:rPr>
              <w:t>A1.4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安装工程设计的风险评估报告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hint="eastAsia" w:ascii="宋体" w:hAnsi="宋体" w:eastAsia="宋体" w:cs="Arial"/>
                <w:kern w:val="0"/>
                <w:sz w:val="20"/>
                <w:szCs w:val="20"/>
              </w:rPr>
              <w:t>R</w:t>
            </w:r>
            <w:r>
              <w:rPr>
                <w:rFonts w:ascii="宋体" w:hAnsi="宋体" w:eastAsia="宋体" w:cs="Arial"/>
                <w:kern w:val="0"/>
                <w:sz w:val="20"/>
                <w:szCs w:val="20"/>
              </w:rPr>
              <w:t>A1.5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装修工程设计的风险评估报告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bCs/>
                <w:kern w:val="0"/>
                <w:sz w:val="20"/>
                <w:szCs w:val="20"/>
              </w:rPr>
            </w:pPr>
            <w:r>
              <w:rPr>
                <w:rFonts w:hint="eastAsia" w:ascii="宋体" w:hAnsi="宋体" w:eastAsia="宋体" w:cs="Arial"/>
                <w:bCs/>
                <w:kern w:val="0"/>
                <w:sz w:val="20"/>
                <w:szCs w:val="20"/>
              </w:rPr>
              <w:t>专项工程风险分析报告</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RA2.1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创新体系的风险评估报告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RA2.2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不良地质条件下基础设计的风险评估报告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RA2.3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装配式结构设计的风险评估报告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RA2.4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幕墙工程设计的风险评估报告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bCs/>
                <w:kern w:val="0"/>
                <w:sz w:val="20"/>
                <w:szCs w:val="20"/>
              </w:rPr>
            </w:pPr>
            <w:r>
              <w:rPr>
                <w:rFonts w:hint="eastAsia" w:ascii="宋体" w:hAnsi="宋体" w:eastAsia="宋体" w:cs="Arial"/>
                <w:bCs/>
                <w:kern w:val="0"/>
                <w:sz w:val="20"/>
                <w:szCs w:val="20"/>
              </w:rPr>
              <w:t>施工过程的风险影响分析</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RA3.1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地基基础工程施工对工程质量的影响分析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主体结构工程施工对工程质量的影响分析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防水保温工程施工对工程质量的影响分析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安装工程施工对工程质量的影响分析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装饰工程施工对工程质量的影响分析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kern w:val="0"/>
                <w:sz w:val="20"/>
                <w:szCs w:val="20"/>
              </w:rPr>
            </w:pPr>
            <w:r>
              <w:rPr>
                <w:rFonts w:hint="eastAsia" w:ascii="宋体" w:hAnsi="宋体" w:eastAsia="宋体" w:cs="Arial"/>
                <w:bCs/>
                <w:kern w:val="0"/>
                <w:sz w:val="20"/>
                <w:szCs w:val="20"/>
              </w:rPr>
              <w:t>竣工风险总体评估</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RA4.1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质量缺陷风险总体评估报告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RA4.2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质量缺陷风险清单汇总</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vAlign w:val="center"/>
          </w:tcPr>
          <w:p>
            <w:pPr>
              <w:rPr>
                <w:rFonts w:ascii="宋体" w:hAnsi="宋体" w:eastAsia="宋体" w:cs="Arial"/>
                <w:kern w:val="0"/>
                <w:sz w:val="20"/>
                <w:szCs w:val="20"/>
              </w:rPr>
            </w:pPr>
            <w:r>
              <w:rPr>
                <w:rFonts w:hint="eastAsia" w:ascii="宋体" w:hAnsi="宋体" w:eastAsia="宋体" w:cs="Arial"/>
                <w:kern w:val="0"/>
                <w:sz w:val="20"/>
                <w:szCs w:val="20"/>
              </w:rPr>
              <w:t>缺陷责任期复查</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复查风险评估报告</w:t>
            </w:r>
          </w:p>
        </w:tc>
        <w:tc>
          <w:tcPr>
            <w:tcW w:w="1701" w:type="dxa"/>
          </w:tcPr>
          <w:p>
            <w:pPr>
              <w:rPr>
                <w:rFonts w:ascii="宋体" w:hAnsi="宋体" w:eastAsia="宋体" w:cs="Arial"/>
                <w:kern w:val="0"/>
                <w:sz w:val="20"/>
                <w:szCs w:val="20"/>
              </w:rPr>
            </w:pP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三</w:t>
      </w:r>
      <w:r>
        <w:rPr>
          <w:rFonts w:ascii="宋体" w:hAnsi="宋体" w:eastAsia="宋体"/>
          <w:sz w:val="20"/>
          <w:szCs w:val="20"/>
        </w:rPr>
        <w:t>部分：</w:t>
      </w:r>
      <w:r>
        <w:rPr>
          <w:rFonts w:hint="eastAsia" w:ascii="宋体" w:hAnsi="宋体" w:eastAsia="宋体"/>
          <w:sz w:val="20"/>
          <w:szCs w:val="20"/>
        </w:rPr>
        <w:t>检查与测试汇总</w:t>
      </w:r>
    </w:p>
    <w:p>
      <w:pPr>
        <w:rPr>
          <w:rFonts w:ascii="宋体" w:hAnsi="宋体" w:eastAsia="宋体"/>
          <w:sz w:val="20"/>
          <w:szCs w:val="20"/>
        </w:rPr>
      </w:pPr>
      <w:r>
        <w:rPr>
          <w:rFonts w:ascii="宋体" w:hAnsi="宋体" w:eastAsia="宋体"/>
          <w:sz w:val="20"/>
          <w:szCs w:val="20"/>
        </w:rPr>
        <w:t>3.1</w:t>
      </w:r>
      <w:r>
        <w:rPr>
          <w:rFonts w:hint="eastAsia" w:ascii="宋体" w:hAnsi="宋体" w:eastAsia="宋体"/>
          <w:sz w:val="20"/>
          <w:szCs w:val="20"/>
        </w:rPr>
        <w:t>十年责任期保障范围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3</w:t>
      </w:r>
      <w:r>
        <w:rPr>
          <w:rFonts w:ascii="宋体" w:hAnsi="宋体" w:eastAsia="宋体"/>
          <w:sz w:val="20"/>
          <w:szCs w:val="20"/>
        </w:rPr>
        <w:t>.2</w:t>
      </w:r>
      <w:r>
        <w:rPr>
          <w:rFonts w:hint="eastAsia" w:ascii="宋体" w:hAnsi="宋体" w:eastAsia="宋体"/>
          <w:sz w:val="20"/>
          <w:szCs w:val="20"/>
        </w:rPr>
        <w:t>五年责任期保障范围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3</w:t>
      </w:r>
      <w:r>
        <w:rPr>
          <w:rFonts w:ascii="宋体" w:hAnsi="宋体" w:eastAsia="宋体"/>
          <w:sz w:val="20"/>
          <w:szCs w:val="20"/>
        </w:rPr>
        <w:t>.3</w:t>
      </w:r>
      <w:r>
        <w:rPr>
          <w:rFonts w:hint="eastAsia" w:ascii="宋体" w:hAnsi="宋体" w:eastAsia="宋体"/>
          <w:sz w:val="20"/>
          <w:szCs w:val="20"/>
        </w:rPr>
        <w:t>两年责任期保障范围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四</w:t>
      </w:r>
      <w:r>
        <w:rPr>
          <w:rFonts w:ascii="宋体" w:hAnsi="宋体" w:eastAsia="宋体"/>
          <w:sz w:val="20"/>
          <w:szCs w:val="20"/>
        </w:rPr>
        <w:t>部分：</w:t>
      </w:r>
      <w:r>
        <w:rPr>
          <w:rFonts w:hint="eastAsia" w:ascii="宋体" w:hAnsi="宋体" w:eastAsia="宋体"/>
          <w:sz w:val="20"/>
          <w:szCs w:val="20"/>
        </w:rPr>
        <w:t>质量缺陷风险清单汇总</w:t>
      </w:r>
    </w:p>
    <w:p>
      <w:pPr>
        <w:rPr>
          <w:rFonts w:ascii="宋体" w:hAnsi="宋体" w:eastAsia="宋体"/>
          <w:sz w:val="20"/>
          <w:szCs w:val="20"/>
        </w:rPr>
      </w:pPr>
      <w:r>
        <w:rPr>
          <w:rFonts w:hint="eastAsia" w:ascii="宋体" w:hAnsi="宋体" w:eastAsia="宋体"/>
          <w:sz w:val="20"/>
          <w:szCs w:val="20"/>
        </w:rPr>
        <w:t>4</w:t>
      </w:r>
      <w:r>
        <w:rPr>
          <w:rFonts w:ascii="宋体" w:hAnsi="宋体" w:eastAsia="宋体"/>
          <w:sz w:val="20"/>
          <w:szCs w:val="20"/>
        </w:rPr>
        <w:t>.1</w:t>
      </w:r>
      <w:r>
        <w:rPr>
          <w:rFonts w:hint="eastAsia" w:ascii="宋体" w:hAnsi="宋体" w:eastAsia="宋体"/>
          <w:sz w:val="20"/>
          <w:szCs w:val="20"/>
        </w:rPr>
        <w:t>质量缺陷风险清单（详</w:t>
      </w:r>
      <w:r>
        <w:rPr>
          <w:rFonts w:ascii="宋体" w:hAnsi="宋体"/>
          <w:sz w:val="20"/>
          <w:szCs w:val="20"/>
        </w:rPr>
        <w:t>RA4.2</w:t>
      </w:r>
      <w:r>
        <w:rPr>
          <w:rFonts w:hint="eastAsia" w:ascii="宋体" w:hAnsi="宋体" w:eastAsia="宋体"/>
          <w:sz w:val="20"/>
          <w:szCs w:val="20"/>
        </w:rPr>
        <w:t>）</w:t>
      </w:r>
    </w:p>
    <w:p>
      <w:pPr>
        <w:widowControl/>
        <w:jc w:val="left"/>
        <w:rPr>
          <w:rFonts w:ascii="宋体" w:hAnsi="宋体" w:eastAsia="宋体"/>
          <w:szCs w:val="21"/>
        </w:rPr>
      </w:pPr>
      <w:r>
        <w:rPr>
          <w:rFonts w:hint="eastAsia" w:ascii="宋体" w:hAnsi="宋体" w:eastAsia="宋体"/>
          <w:szCs w:val="21"/>
        </w:rPr>
        <w:t>4</w:t>
      </w:r>
      <w:r>
        <w:rPr>
          <w:rFonts w:ascii="宋体" w:hAnsi="宋体" w:eastAsia="宋体"/>
          <w:szCs w:val="21"/>
        </w:rPr>
        <w:t>.2</w:t>
      </w:r>
      <w:r>
        <w:rPr>
          <w:rFonts w:hint="eastAsia" w:ascii="宋体" w:hAnsi="宋体" w:eastAsia="宋体"/>
          <w:szCs w:val="21"/>
        </w:rPr>
        <w:t>质量缺陷风险统计</w:t>
      </w:r>
    </w:p>
    <w:p>
      <w:pPr>
        <w:rPr>
          <w:rFonts w:ascii="宋体" w:hAnsi="宋体" w:eastAsia="宋体"/>
          <w:sz w:val="20"/>
          <w:szCs w:val="20"/>
        </w:rPr>
      </w:pPr>
      <w:r>
        <w:rPr>
          <w:rFonts w:ascii="宋体" w:hAnsi="宋体" w:eastAsia="宋体"/>
          <w:sz w:val="20"/>
          <w:szCs w:val="20"/>
        </w:rPr>
        <w:t>4.2.1</w:t>
      </w:r>
      <w:r>
        <w:rPr>
          <w:rFonts w:hint="eastAsia" w:ascii="宋体" w:hAnsi="宋体" w:eastAsia="宋体"/>
          <w:sz w:val="20"/>
          <w:szCs w:val="20"/>
        </w:rPr>
        <w:t>十年责任期保障范围风险统计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29"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0"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4.2.2</w:t>
      </w:r>
      <w:r>
        <w:rPr>
          <w:rFonts w:hint="eastAsia" w:ascii="宋体" w:hAnsi="宋体" w:eastAsia="宋体"/>
          <w:sz w:val="20"/>
          <w:szCs w:val="20"/>
        </w:rPr>
        <w:t>五年责任期保障范围风险统计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1"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2"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4.2.3</w:t>
      </w:r>
      <w:r>
        <w:rPr>
          <w:rFonts w:hint="eastAsia" w:ascii="宋体" w:hAnsi="宋体" w:eastAsia="宋体"/>
          <w:sz w:val="20"/>
          <w:szCs w:val="20"/>
        </w:rPr>
        <w:t>两年责任期保障范围风险统计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3"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4"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五</w:t>
      </w:r>
      <w:r>
        <w:rPr>
          <w:rFonts w:ascii="宋体" w:hAnsi="宋体" w:eastAsia="宋体"/>
          <w:sz w:val="20"/>
          <w:szCs w:val="20"/>
        </w:rPr>
        <w:t>部分：</w:t>
      </w:r>
      <w:r>
        <w:rPr>
          <w:rFonts w:hint="eastAsia" w:ascii="宋体" w:hAnsi="宋体" w:eastAsia="宋体"/>
          <w:sz w:val="20"/>
          <w:szCs w:val="20"/>
        </w:rPr>
        <w:t>结论</w:t>
      </w:r>
    </w:p>
    <w:p>
      <w:pPr>
        <w:rPr>
          <w:rFonts w:ascii="宋体" w:hAnsi="宋体" w:eastAsia="宋体"/>
          <w:sz w:val="20"/>
          <w:szCs w:val="20"/>
        </w:rPr>
      </w:pPr>
      <w:r>
        <w:rPr>
          <w:rFonts w:hint="eastAsia" w:ascii="宋体" w:hAnsi="宋体" w:eastAsia="宋体"/>
          <w:sz w:val="20"/>
          <w:szCs w:val="20"/>
        </w:rPr>
        <w:t>5</w:t>
      </w:r>
      <w:r>
        <w:rPr>
          <w:rFonts w:ascii="宋体" w:hAnsi="宋体" w:eastAsia="宋体"/>
          <w:sz w:val="20"/>
          <w:szCs w:val="20"/>
        </w:rPr>
        <w:t>.1</w:t>
      </w:r>
      <w:r>
        <w:rPr>
          <w:rFonts w:hint="eastAsia" w:ascii="宋体" w:hAnsi="宋体" w:eastAsia="宋体"/>
          <w:sz w:val="20"/>
          <w:szCs w:val="20"/>
        </w:rPr>
        <w:t>项目进展</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96" w:type="dxa"/>
          </w:tcPr>
          <w:p>
            <w:pPr>
              <w:rPr>
                <w:rFonts w:ascii="宋体" w:hAnsi="宋体" w:eastAsia="宋体" w:cs="Times New Roman"/>
                <w:kern w:val="0"/>
                <w:sz w:val="20"/>
                <w:szCs w:val="20"/>
              </w:rPr>
            </w:pPr>
            <w:r>
              <w:rPr>
                <w:rFonts w:hint="eastAsia" w:ascii="宋体" w:hAnsi="宋体" w:eastAsia="宋体" w:cs="Times New Roman"/>
                <w:kern w:val="0"/>
                <w:sz w:val="20"/>
                <w:szCs w:val="20"/>
              </w:rPr>
              <w:t>出具本报告之日项目进展状态描述：</w:t>
            </w:r>
          </w:p>
          <w:p>
            <w:pP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5</w:t>
      </w:r>
      <w:r>
        <w:rPr>
          <w:rFonts w:ascii="宋体" w:hAnsi="宋体" w:eastAsia="宋体"/>
          <w:sz w:val="20"/>
          <w:szCs w:val="20"/>
        </w:rPr>
        <w:t>.2</w:t>
      </w:r>
      <w:r>
        <w:rPr>
          <w:rFonts w:hint="eastAsia" w:ascii="宋体" w:hAnsi="宋体" w:eastAsia="宋体"/>
          <w:sz w:val="20"/>
          <w:szCs w:val="20"/>
        </w:rPr>
        <w:t>风险评价</w:t>
      </w:r>
    </w:p>
    <w:p>
      <w:pPr>
        <w:ind w:firstLine="400" w:firstLineChars="200"/>
        <w:rPr>
          <w:rFonts w:ascii="宋体" w:hAnsi="宋体" w:eastAsia="宋体"/>
          <w:sz w:val="20"/>
          <w:szCs w:val="20"/>
        </w:rPr>
      </w:pPr>
      <w:r>
        <w:rPr>
          <w:rFonts w:hint="eastAsia" w:ascii="宋体" w:hAnsi="宋体" w:eastAsia="宋体"/>
          <w:sz w:val="20"/>
          <w:szCs w:val="20"/>
        </w:rPr>
        <w:t>本公司对于该项目投保建筑工程质量潜在缺陷保险的保障内容和相关合同的约定，通过对项目从勘察设计、施工至竣工验收的全过程风险管理并补充必要的检测验证和过程检查后， 对保障范围内各分项工程的总体风险评价总结如下：</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8"/>
        <w:gridCol w:w="3429"/>
        <w:gridCol w:w="3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blHeader/>
        </w:trPr>
        <w:tc>
          <w:tcPr>
            <w:tcW w:w="1458"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分项工程</w:t>
            </w:r>
          </w:p>
        </w:tc>
        <w:tc>
          <w:tcPr>
            <w:tcW w:w="3429"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子项</w:t>
            </w:r>
          </w:p>
        </w:tc>
        <w:tc>
          <w:tcPr>
            <w:tcW w:w="3409" w:type="dxa"/>
            <w:vAlign w:val="center"/>
          </w:tcPr>
          <w:p>
            <w:pPr>
              <w:autoSpaceDE w:val="0"/>
              <w:autoSpaceDN w:val="0"/>
              <w:adjustRightInd w:val="0"/>
              <w:snapToGrid w:val="0"/>
              <w:spacing w:line="0" w:lineRule="atLeast"/>
              <w:jc w:val="center"/>
              <w:rPr>
                <w:rFonts w:ascii="宋体" w:hAnsi="宋体" w:eastAsia="宋体" w:cs="宋体"/>
                <w:kern w:val="0"/>
                <w:sz w:val="20"/>
                <w:szCs w:val="21"/>
              </w:rPr>
            </w:pPr>
            <w:r>
              <w:rPr>
                <w:rFonts w:hint="eastAsia" w:ascii="宋体" w:hAnsi="宋体" w:eastAsia="宋体" w:cs="宋体"/>
                <w:kern w:val="0"/>
                <w:sz w:val="20"/>
                <w:szCs w:val="21"/>
              </w:rPr>
              <w:t>风险评价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场地环境与</w:t>
            </w:r>
          </w:p>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地基基础工程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场地环境</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风险可接受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岩土勘察</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风险有条件接受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桩基工程与地基处理</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风险不可接受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基础工程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主体结构工程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地下结构工程</w:t>
            </w:r>
            <w:r>
              <w:rPr>
                <w:rFonts w:hint="eastAsia" w:ascii="Times New Roman" w:hAnsi="Times New Roman" w:eastAsia="宋体" w:cs="Times New Roman"/>
                <w:kern w:val="0"/>
                <w:sz w:val="18"/>
                <w:szCs w:val="18"/>
              </w:rPr>
              <w:t>（外墙、顶板、防水板）</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主体结构</w:t>
            </w:r>
            <w:r>
              <w:rPr>
                <w:rFonts w:hint="eastAsia" w:ascii="Times New Roman" w:hAnsi="Times New Roman" w:eastAsia="宋体" w:cs="Times New Roman"/>
                <w:kern w:val="0"/>
                <w:sz w:val="18"/>
                <w:szCs w:val="18"/>
              </w:rPr>
              <w:t>（含地下梁墙柱、楼板）</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围护结构</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防水工程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地下防水工程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屋面防水工程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楼面防水工程</w:t>
            </w:r>
            <w:r>
              <w:rPr>
                <w:rFonts w:hint="eastAsia" w:ascii="宋体" w:hAnsi="宋体" w:eastAsia="宋体" w:cs="Arial"/>
                <w:kern w:val="0"/>
                <w:sz w:val="18"/>
                <w:szCs w:val="18"/>
              </w:rPr>
              <w:t>（</w:t>
            </w:r>
            <w:r>
              <w:rPr>
                <w:rFonts w:ascii="宋体" w:hAnsi="宋体" w:eastAsia="宋体" w:cs="Arial"/>
                <w:kern w:val="0"/>
                <w:sz w:val="18"/>
                <w:szCs w:val="18"/>
              </w:rPr>
              <w:t>有防水要求</w:t>
            </w:r>
            <w:r>
              <w:rPr>
                <w:rFonts w:hint="eastAsia" w:ascii="宋体" w:hAnsi="宋体" w:eastAsia="宋体" w:cs="Arial"/>
                <w:kern w:val="0"/>
                <w:sz w:val="18"/>
                <w:szCs w:val="18"/>
              </w:rPr>
              <w:t>的</w:t>
            </w:r>
            <w:r>
              <w:rPr>
                <w:rFonts w:ascii="宋体" w:hAnsi="宋体" w:eastAsia="宋体" w:cs="Arial"/>
                <w:kern w:val="0"/>
                <w:sz w:val="18"/>
                <w:szCs w:val="18"/>
              </w:rPr>
              <w:t>房间</w:t>
            </w:r>
            <w:r>
              <w:rPr>
                <w:rFonts w:hint="eastAsia" w:ascii="宋体" w:hAnsi="宋体" w:eastAsia="宋体" w:cs="Arial"/>
                <w:kern w:val="0"/>
                <w:sz w:val="18"/>
                <w:szCs w:val="18"/>
              </w:rPr>
              <w:t>）</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外墙防水工程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外门窗防水</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保温工程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屋面保温工程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外墙保温工程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restart"/>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安装工程</w:t>
            </w: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给水系统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排水系统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消防系统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暖通与空调</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强电系统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弱电系统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燃气系统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kern w:val="0"/>
                <w:szCs w:val="21"/>
              </w:rPr>
            </w:pPr>
            <w:r>
              <w:rPr>
                <w:rFonts w:hint="eastAsia" w:ascii="宋体" w:hAnsi="宋体" w:eastAsia="宋体" w:cs="TimesNewRomanPSMT"/>
                <w:kern w:val="0"/>
                <w:szCs w:val="21"/>
              </w:rPr>
              <w:t>装修工程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墙体饰面</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楼地面</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顶棚</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门窗工程及护栏</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隔断</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bl>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48" w:name="_Toc58848585"/>
      <w:r>
        <w:rPr>
          <w:rFonts w:hint="eastAsia" w:ascii="宋体" w:hAnsi="宋体"/>
        </w:rPr>
        <w:t>附录</w:t>
      </w:r>
      <w:r>
        <w:rPr>
          <w:rFonts w:ascii="宋体" w:hAnsi="宋体"/>
        </w:rPr>
        <w:t xml:space="preserve">E  </w:t>
      </w:r>
      <w:r>
        <w:rPr>
          <w:rFonts w:hint="eastAsia" w:ascii="宋体" w:hAnsi="宋体"/>
        </w:rPr>
        <w:t>关键分部分项工程、节点和工序</w:t>
      </w:r>
      <w:bookmarkEnd w:id="48"/>
    </w:p>
    <w:p>
      <w:pPr>
        <w:rPr>
          <w:rFonts w:ascii="宋体" w:hAnsi="宋体" w:eastAsia="宋体"/>
          <w:bCs/>
          <w:sz w:val="28"/>
          <w:szCs w:val="28"/>
        </w:rPr>
      </w:pPr>
      <w:r>
        <w:rPr>
          <w:rFonts w:ascii="宋体" w:hAnsi="宋体" w:eastAsia="宋体"/>
          <w:b/>
          <w:sz w:val="28"/>
          <w:szCs w:val="28"/>
        </w:rPr>
        <w:t>E.0.1</w:t>
      </w:r>
      <w:r>
        <w:rPr>
          <w:rFonts w:ascii="宋体" w:hAnsi="宋体" w:eastAsia="宋体"/>
          <w:b/>
          <w:bCs/>
          <w:sz w:val="28"/>
          <w:szCs w:val="28"/>
        </w:rPr>
        <w:t xml:space="preserve">  </w:t>
      </w:r>
      <w:r>
        <w:rPr>
          <w:rFonts w:hint="eastAsia" w:ascii="宋体" w:hAnsi="宋体" w:eastAsia="宋体"/>
          <w:bCs/>
          <w:sz w:val="28"/>
          <w:szCs w:val="28"/>
        </w:rPr>
        <w:t>关键分部分项工程、节点和工序仅作为工程质量潜在缺陷保险技术风险管理服务的工作指引。</w:t>
      </w:r>
    </w:p>
    <w:p>
      <w:pPr>
        <w:jc w:val="left"/>
        <w:rPr>
          <w:rFonts w:ascii="宋体" w:hAnsi="宋体" w:eastAsia="宋体"/>
          <w:b/>
          <w:sz w:val="28"/>
          <w:szCs w:val="28"/>
        </w:rPr>
      </w:pPr>
      <w:r>
        <w:rPr>
          <w:rFonts w:ascii="宋体" w:hAnsi="宋体" w:eastAsia="宋体"/>
          <w:b/>
          <w:sz w:val="28"/>
          <w:szCs w:val="28"/>
        </w:rPr>
        <w:t>E.0.2</w:t>
      </w:r>
      <w:r>
        <w:rPr>
          <w:rFonts w:ascii="宋体" w:hAnsi="宋体" w:eastAsia="宋体"/>
          <w:b/>
          <w:bCs/>
          <w:sz w:val="28"/>
          <w:szCs w:val="28"/>
        </w:rPr>
        <w:t xml:space="preserve">  </w:t>
      </w:r>
      <w:r>
        <w:rPr>
          <w:rFonts w:hint="eastAsia" w:ascii="宋体" w:hAnsi="宋体" w:eastAsia="宋体"/>
          <w:bCs/>
          <w:sz w:val="28"/>
          <w:szCs w:val="28"/>
        </w:rPr>
        <w:t>本附录根据保单内容所列举的关键分部分项工程、节点和工序并不能涵盖所有房屋建筑工程的关键内容，技术风险管理机构应根据具体的工程特点有针对性的实施风险管理。</w:t>
      </w:r>
    </w:p>
    <w:p>
      <w:pPr>
        <w:jc w:val="center"/>
        <w:rPr>
          <w:rFonts w:ascii="宋体" w:hAnsi="宋体" w:eastAsia="宋体"/>
          <w:b/>
          <w:bCs/>
          <w:sz w:val="28"/>
          <w:szCs w:val="28"/>
        </w:rPr>
      </w:pPr>
      <w:r>
        <w:rPr>
          <w:rFonts w:hint="eastAsia" w:ascii="宋体" w:hAnsi="宋体" w:eastAsia="宋体"/>
          <w:b/>
          <w:bCs/>
          <w:sz w:val="28"/>
          <w:szCs w:val="28"/>
        </w:rPr>
        <w:t>表E</w:t>
      </w:r>
      <w:r>
        <w:rPr>
          <w:rFonts w:ascii="宋体" w:hAnsi="宋体" w:eastAsia="宋体"/>
          <w:b/>
          <w:bCs/>
          <w:sz w:val="28"/>
          <w:szCs w:val="28"/>
        </w:rPr>
        <w:t xml:space="preserve">.2  </w:t>
      </w:r>
      <w:r>
        <w:rPr>
          <w:rFonts w:hint="eastAsia" w:ascii="宋体" w:hAnsi="宋体" w:eastAsia="宋体"/>
          <w:b/>
          <w:bCs/>
          <w:sz w:val="28"/>
          <w:szCs w:val="28"/>
        </w:rPr>
        <w:t>关键分部分项工程、节点和工序</w:t>
      </w:r>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5"/>
        <w:gridCol w:w="2126"/>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blHeader/>
        </w:trPr>
        <w:tc>
          <w:tcPr>
            <w:tcW w:w="1555"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分部工程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子分部工程</w:t>
            </w:r>
          </w:p>
        </w:tc>
        <w:tc>
          <w:tcPr>
            <w:tcW w:w="453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分项工程或关键节点和关键工序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场地环境与</w:t>
            </w:r>
          </w:p>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地基基础工程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场地环境</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地下水位变化对施工工艺的影响；</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地质蠕变对施工工艺的影响；</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冬季施工；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雨季施工。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岩土勘察</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施工前的超前勘探。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桩基工程与地基处理</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灌注桩成孔质量；钢筋工程；施工工法；</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预制桩入土深度；桩身连接；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桩基检测；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褥垫层质量验收；</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密实度检测。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基础工程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基坑验槽；</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土方回填；</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沉降缝处理；</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大体积混凝土浇筑；</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隐蔽工程验收。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主体结构工程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地下结构工程</w:t>
            </w:r>
          </w:p>
          <w:p>
            <w:pPr>
              <w:autoSpaceDE w:val="0"/>
              <w:autoSpaceDN w:val="0"/>
              <w:adjustRightInd w:val="0"/>
              <w:snapToGrid w:val="0"/>
              <w:spacing w:line="0" w:lineRule="atLeast"/>
              <w:rPr>
                <w:rFonts w:ascii="宋体" w:hAnsi="宋体" w:eastAsia="宋体" w:cs="TimesNewRomanPSMT"/>
                <w:sz w:val="18"/>
                <w:szCs w:val="18"/>
              </w:rPr>
            </w:pPr>
            <w:r>
              <w:rPr>
                <w:rFonts w:hint="eastAsia" w:ascii="Times New Roman" w:hAnsi="Times New Roman" w:eastAsia="宋体" w:cs="Times New Roman"/>
                <w:sz w:val="18"/>
                <w:szCs w:val="18"/>
              </w:rPr>
              <w:t>（外墙、顶板、防水板）</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混凝土工程；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钢筋工程；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模板工程。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主体结构</w:t>
            </w:r>
          </w:p>
          <w:p>
            <w:pPr>
              <w:autoSpaceDE w:val="0"/>
              <w:autoSpaceDN w:val="0"/>
              <w:adjustRightInd w:val="0"/>
              <w:snapToGrid w:val="0"/>
              <w:spacing w:line="0" w:lineRule="atLeast"/>
              <w:rPr>
                <w:rFonts w:ascii="宋体" w:hAnsi="宋体" w:eastAsia="宋体" w:cs="TimesNewRomanPSMT"/>
                <w:sz w:val="18"/>
                <w:szCs w:val="18"/>
              </w:rPr>
            </w:pPr>
            <w:r>
              <w:rPr>
                <w:rFonts w:hint="eastAsia" w:ascii="Times New Roman" w:hAnsi="Times New Roman" w:eastAsia="宋体" w:cs="Times New Roman"/>
                <w:sz w:val="18"/>
                <w:szCs w:val="18"/>
              </w:rPr>
              <w:t>（含地下梁墙柱、楼板）</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混凝土工程；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钢筋工程；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模板工程；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其他专项工程。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围护结构</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砌体结构；</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门窗安装。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防水工程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地下防水工程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桩头节点防水；</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防水材料、防水混凝土检测；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施工缝、变形缝、诱导缝节点施工；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穿墙孔洞预留；对拉螺杆处理。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屋面防水工程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泛水坡度；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节点防水施工；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防水材料、防水混凝土检测；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防水混凝土浇筑；</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蓄水试验。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楼面防水工程</w:t>
            </w:r>
          </w:p>
          <w:p>
            <w:pPr>
              <w:autoSpaceDE w:val="0"/>
              <w:autoSpaceDN w:val="0"/>
              <w:adjustRightInd w:val="0"/>
              <w:snapToGrid w:val="0"/>
              <w:spacing w:line="0" w:lineRule="atLeast"/>
              <w:jc w:val="center"/>
              <w:rPr>
                <w:rFonts w:ascii="宋体" w:hAnsi="宋体" w:eastAsia="宋体" w:cs="TimesNewRomanPSMT"/>
                <w:sz w:val="18"/>
                <w:szCs w:val="18"/>
              </w:rPr>
            </w:pPr>
            <w:r>
              <w:rPr>
                <w:rFonts w:hint="eastAsia" w:ascii="宋体" w:hAnsi="宋体" w:eastAsia="宋体" w:cs="Arial"/>
                <w:sz w:val="18"/>
                <w:szCs w:val="18"/>
              </w:rPr>
              <w:t>（</w:t>
            </w:r>
            <w:r>
              <w:rPr>
                <w:rFonts w:ascii="宋体" w:hAnsi="宋体" w:eastAsia="宋体" w:cs="Arial"/>
                <w:sz w:val="18"/>
                <w:szCs w:val="18"/>
              </w:rPr>
              <w:t>有防水要求</w:t>
            </w:r>
            <w:r>
              <w:rPr>
                <w:rFonts w:hint="eastAsia" w:ascii="宋体" w:hAnsi="宋体" w:eastAsia="宋体" w:cs="Arial"/>
                <w:sz w:val="18"/>
                <w:szCs w:val="18"/>
              </w:rPr>
              <w:t>的</w:t>
            </w:r>
            <w:r>
              <w:rPr>
                <w:rFonts w:ascii="宋体" w:hAnsi="宋体" w:eastAsia="宋体" w:cs="Arial"/>
                <w:sz w:val="18"/>
                <w:szCs w:val="18"/>
              </w:rPr>
              <w:t>房间</w:t>
            </w:r>
            <w:r>
              <w:rPr>
                <w:rFonts w:hint="eastAsia" w:ascii="宋体" w:hAnsi="宋体" w:eastAsia="宋体" w:cs="Arial"/>
                <w:sz w:val="18"/>
                <w:szCs w:val="18"/>
              </w:rPr>
              <w:t>）</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（同上）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外墙防水工程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砌体工程；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穿墙孔洞预留；施工孔洞封闭；</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腰线、雨棚、空调板等的泛水坡度；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装配式构件安装接缝处理；</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淋水试验。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外门窗防水</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门窗安装及封堵；</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淋水试验。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保温工程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屋面保温工程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分隔缝处理。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外墙保温工程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粘结强度及固接件安装。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restart"/>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安装工程</w:t>
            </w: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给水系统</w:t>
            </w:r>
          </w:p>
        </w:tc>
        <w:tc>
          <w:tcPr>
            <w:tcW w:w="4536" w:type="dxa"/>
            <w:vMerge w:val="restart"/>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设备设施、管道支架安装；</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管道连接；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排水坡度；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预留孔洞及封堵；</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防腐涂层；</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系统试运行。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排水系统</w:t>
            </w:r>
          </w:p>
        </w:tc>
        <w:tc>
          <w:tcPr>
            <w:tcW w:w="4536" w:type="dxa"/>
            <w:vMerge w:val="continue"/>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消防系统</w:t>
            </w:r>
          </w:p>
        </w:tc>
        <w:tc>
          <w:tcPr>
            <w:tcW w:w="4536"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暖通与空调</w:t>
            </w:r>
          </w:p>
        </w:tc>
        <w:tc>
          <w:tcPr>
            <w:tcW w:w="453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设备设施、管道支架安装；</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管道连接；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预留孔洞及封堵；</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防腐涂层；</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系统试运行。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强电系统</w:t>
            </w:r>
          </w:p>
        </w:tc>
        <w:tc>
          <w:tcPr>
            <w:tcW w:w="4536" w:type="dxa"/>
            <w:vMerge w:val="restart"/>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管线安装及敷设；</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相线、零线及地线敷设；</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接地支线检查；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插座对地绝缘检查；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弱电系统</w:t>
            </w:r>
          </w:p>
        </w:tc>
        <w:tc>
          <w:tcPr>
            <w:tcW w:w="4536"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燃气系统</w:t>
            </w:r>
          </w:p>
        </w:tc>
        <w:tc>
          <w:tcPr>
            <w:tcW w:w="453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（同管道工程）</w:t>
            </w:r>
          </w:p>
        </w:tc>
      </w:tr>
    </w:tbl>
    <w:p>
      <w:pPr>
        <w:rPr>
          <w:rFonts w:ascii="宋体" w:hAnsi="宋体" w:eastAsia="宋体"/>
          <w:sz w:val="20"/>
          <w:szCs w:val="20"/>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TimesNewRomanPSMT">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w:t>
    </w:r>
    <w:r>
      <w:rPr>
        <w:sz w:val="21"/>
        <w:szCs w:val="21"/>
      </w:rPr>
      <w:t xml:space="preserve"> 37 -</w:t>
    </w:r>
    <w:r>
      <w:rPr>
        <w:sz w:val="21"/>
        <w:szCs w:val="21"/>
      </w:rP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65E7E"/>
    <w:multiLevelType w:val="multilevel"/>
    <w:tmpl w:val="3A465E7E"/>
    <w:lvl w:ilvl="0" w:tentative="0">
      <w:start w:val="3"/>
      <w:numFmt w:val="decimal"/>
      <w:pStyle w:val="30"/>
      <w:lvlText w:val="%1"/>
      <w:lvlJc w:val="left"/>
      <w:pPr>
        <w:tabs>
          <w:tab w:val="left" w:pos="720"/>
        </w:tabs>
        <w:ind w:left="720" w:hanging="720"/>
      </w:pPr>
      <w:rPr>
        <w:rFonts w:hint="default"/>
      </w:rPr>
    </w:lvl>
    <w:lvl w:ilvl="1" w:tentative="0">
      <w:start w:val="1"/>
      <w:numFmt w:val="decimal"/>
      <w:lvlText w:val="%1.%2"/>
      <w:lvlJc w:val="left"/>
      <w:pPr>
        <w:tabs>
          <w:tab w:val="left" w:pos="720"/>
        </w:tabs>
        <w:ind w:left="720" w:hanging="720"/>
      </w:pPr>
      <w:rPr>
        <w:rFonts w:hint="default"/>
      </w:rPr>
    </w:lvl>
    <w:lvl w:ilvl="2" w:tentative="0">
      <w:start w:val="1"/>
      <w:numFmt w:val="decimal"/>
      <w:pStyle w:val="31"/>
      <w:lvlText w:val="%1.%2.%3"/>
      <w:lvlJc w:val="left"/>
      <w:pPr>
        <w:tabs>
          <w:tab w:val="left" w:pos="720"/>
        </w:tabs>
        <w:ind w:left="720" w:hanging="720"/>
      </w:pPr>
      <w:rPr>
        <w:rFonts w:hint="default"/>
      </w:rPr>
    </w:lvl>
    <w:lvl w:ilvl="3" w:tentative="0">
      <w:start w:val="1"/>
      <w:numFmt w:val="decimal"/>
      <w:pStyle w:val="32"/>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pStyle w:val="33"/>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45533B1C"/>
    <w:multiLevelType w:val="multilevel"/>
    <w:tmpl w:val="45533B1C"/>
    <w:lvl w:ilvl="0" w:tentative="0">
      <w:start w:val="1"/>
      <w:numFmt w:val="bullet"/>
      <w:lvlText w:val="•"/>
      <w:lvlJc w:val="left"/>
      <w:pPr>
        <w:ind w:left="1560" w:hanging="360"/>
      </w:pPr>
    </w:lvl>
    <w:lvl w:ilvl="1" w:tentative="0">
      <w:start w:val="1"/>
      <w:numFmt w:val="bullet"/>
      <w:lvlText w:val=""/>
      <w:lvlJc w:val="left"/>
      <w:pPr>
        <w:ind w:left="7269" w:hanging="360"/>
      </w:pPr>
      <w:rPr>
        <w:rFonts w:hint="default" w:ascii="Wingdings" w:hAnsi="Wingdings"/>
      </w:rPr>
    </w:lvl>
    <w:lvl w:ilvl="2" w:tentative="0">
      <w:start w:val="1"/>
      <w:numFmt w:val="bullet"/>
      <w:lvlText w:val=""/>
      <w:lvlJc w:val="left"/>
      <w:pPr>
        <w:ind w:left="7793" w:hanging="360"/>
      </w:pPr>
      <w:rPr>
        <w:rFonts w:hint="default" w:ascii="Wingdings" w:hAnsi="Wingdings"/>
      </w:rPr>
    </w:lvl>
    <w:lvl w:ilvl="3" w:tentative="0">
      <w:start w:val="1"/>
      <w:numFmt w:val="bullet"/>
      <w:lvlText w:val=""/>
      <w:lvlJc w:val="left"/>
      <w:pPr>
        <w:ind w:left="8513" w:hanging="360"/>
      </w:pPr>
      <w:rPr>
        <w:rFonts w:hint="default" w:ascii="Symbol" w:hAnsi="Symbol"/>
      </w:rPr>
    </w:lvl>
    <w:lvl w:ilvl="4" w:tentative="0">
      <w:start w:val="1"/>
      <w:numFmt w:val="bullet"/>
      <w:lvlText w:val="o"/>
      <w:lvlJc w:val="left"/>
      <w:pPr>
        <w:ind w:left="9233" w:hanging="360"/>
      </w:pPr>
      <w:rPr>
        <w:rFonts w:hint="default" w:ascii="Courier New" w:hAnsi="Courier New"/>
      </w:rPr>
    </w:lvl>
    <w:lvl w:ilvl="5" w:tentative="0">
      <w:start w:val="1"/>
      <w:numFmt w:val="bullet"/>
      <w:lvlText w:val=""/>
      <w:lvlJc w:val="left"/>
      <w:pPr>
        <w:ind w:left="9953" w:hanging="360"/>
      </w:pPr>
      <w:rPr>
        <w:rFonts w:hint="default" w:ascii="Wingdings" w:hAnsi="Wingdings"/>
      </w:rPr>
    </w:lvl>
    <w:lvl w:ilvl="6" w:tentative="0">
      <w:start w:val="1"/>
      <w:numFmt w:val="bullet"/>
      <w:lvlText w:val=""/>
      <w:lvlJc w:val="left"/>
      <w:pPr>
        <w:ind w:left="10673" w:hanging="360"/>
      </w:pPr>
      <w:rPr>
        <w:rFonts w:hint="default" w:ascii="Symbol" w:hAnsi="Symbol"/>
      </w:rPr>
    </w:lvl>
    <w:lvl w:ilvl="7" w:tentative="0">
      <w:start w:val="1"/>
      <w:numFmt w:val="bullet"/>
      <w:lvlText w:val="o"/>
      <w:lvlJc w:val="left"/>
      <w:pPr>
        <w:ind w:left="11393" w:hanging="360"/>
      </w:pPr>
      <w:rPr>
        <w:rFonts w:hint="default" w:ascii="Courier New" w:hAnsi="Courier New"/>
      </w:rPr>
    </w:lvl>
    <w:lvl w:ilvl="8" w:tentative="0">
      <w:start w:val="1"/>
      <w:numFmt w:val="bullet"/>
      <w:lvlText w:val=""/>
      <w:lvlJc w:val="left"/>
      <w:pPr>
        <w:ind w:left="12113" w:hanging="360"/>
      </w:pPr>
      <w:rPr>
        <w:rFonts w:hint="default" w:ascii="Wingdings" w:hAnsi="Wingdings"/>
      </w:rPr>
    </w:lvl>
  </w:abstractNum>
  <w:abstractNum w:abstractNumId="2">
    <w:nsid w:val="611937EB"/>
    <w:multiLevelType w:val="multilevel"/>
    <w:tmpl w:val="611937EB"/>
    <w:lvl w:ilvl="0" w:tentative="0">
      <w:start w:val="6"/>
      <w:numFmt w:val="decimal"/>
      <w:lvlText w:val="%1"/>
      <w:lvlJc w:val="left"/>
      <w:pPr>
        <w:ind w:left="744" w:hanging="744"/>
      </w:pPr>
      <w:rPr>
        <w:rFonts w:hint="default"/>
        <w:b/>
        <w:sz w:val="28"/>
      </w:rPr>
    </w:lvl>
    <w:lvl w:ilvl="1" w:tentative="0">
      <w:start w:val="0"/>
      <w:numFmt w:val="decimal"/>
      <w:lvlText w:val="%1.%2"/>
      <w:lvlJc w:val="left"/>
      <w:pPr>
        <w:ind w:left="744" w:hanging="744"/>
      </w:pPr>
      <w:rPr>
        <w:rFonts w:hint="default"/>
        <w:b/>
        <w:sz w:val="28"/>
      </w:rPr>
    </w:lvl>
    <w:lvl w:ilvl="2" w:tentative="0">
      <w:start w:val="5"/>
      <w:numFmt w:val="decimal"/>
      <w:lvlText w:val="%1.%2.%3"/>
      <w:lvlJc w:val="left"/>
      <w:pPr>
        <w:ind w:left="744" w:hanging="744"/>
      </w:pPr>
      <w:rPr>
        <w:rFonts w:hint="default"/>
        <w:b/>
        <w:sz w:val="28"/>
      </w:rPr>
    </w:lvl>
    <w:lvl w:ilvl="3" w:tentative="0">
      <w:start w:val="1"/>
      <w:numFmt w:val="decimal"/>
      <w:lvlText w:val="%1.%2.%3.%4"/>
      <w:lvlJc w:val="left"/>
      <w:pPr>
        <w:ind w:left="1080" w:hanging="1080"/>
      </w:pPr>
      <w:rPr>
        <w:rFonts w:hint="default"/>
        <w:b/>
        <w:sz w:val="28"/>
      </w:rPr>
    </w:lvl>
    <w:lvl w:ilvl="4" w:tentative="0">
      <w:start w:val="1"/>
      <w:numFmt w:val="decimal"/>
      <w:lvlText w:val="%1.%2.%3.%4.%5"/>
      <w:lvlJc w:val="left"/>
      <w:pPr>
        <w:ind w:left="1440" w:hanging="1440"/>
      </w:pPr>
      <w:rPr>
        <w:rFonts w:hint="default"/>
        <w:b/>
        <w:sz w:val="28"/>
      </w:rPr>
    </w:lvl>
    <w:lvl w:ilvl="5" w:tentative="0">
      <w:start w:val="1"/>
      <w:numFmt w:val="decimal"/>
      <w:lvlText w:val="%1.%2.%3.%4.%5.%6"/>
      <w:lvlJc w:val="left"/>
      <w:pPr>
        <w:ind w:left="1800" w:hanging="1800"/>
      </w:pPr>
      <w:rPr>
        <w:rFonts w:hint="default"/>
        <w:b/>
        <w:sz w:val="28"/>
      </w:rPr>
    </w:lvl>
    <w:lvl w:ilvl="6" w:tentative="0">
      <w:start w:val="1"/>
      <w:numFmt w:val="decimal"/>
      <w:lvlText w:val="%1.%2.%3.%4.%5.%6.%7"/>
      <w:lvlJc w:val="left"/>
      <w:pPr>
        <w:ind w:left="2160" w:hanging="2160"/>
      </w:pPr>
      <w:rPr>
        <w:rFonts w:hint="default"/>
        <w:b/>
        <w:sz w:val="28"/>
      </w:rPr>
    </w:lvl>
    <w:lvl w:ilvl="7" w:tentative="0">
      <w:start w:val="1"/>
      <w:numFmt w:val="decimal"/>
      <w:lvlText w:val="%1.%2.%3.%4.%5.%6.%7.%8"/>
      <w:lvlJc w:val="left"/>
      <w:pPr>
        <w:ind w:left="2160" w:hanging="2160"/>
      </w:pPr>
      <w:rPr>
        <w:rFonts w:hint="default"/>
        <w:b/>
        <w:sz w:val="28"/>
      </w:rPr>
    </w:lvl>
    <w:lvl w:ilvl="8" w:tentative="0">
      <w:start w:val="1"/>
      <w:numFmt w:val="decimal"/>
      <w:lvlText w:val="%1.%2.%3.%4.%5.%6.%7.%8.%9"/>
      <w:lvlJc w:val="left"/>
      <w:pPr>
        <w:ind w:left="2520" w:hanging="2520"/>
      </w:pPr>
      <w:rPr>
        <w:rFonts w:hint="default"/>
        <w:b/>
        <w:sz w:val="28"/>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26F5A"/>
    <w:rsid w:val="00000267"/>
    <w:rsid w:val="000009C6"/>
    <w:rsid w:val="00002261"/>
    <w:rsid w:val="0000642A"/>
    <w:rsid w:val="00013A61"/>
    <w:rsid w:val="00014820"/>
    <w:rsid w:val="00014D08"/>
    <w:rsid w:val="00016426"/>
    <w:rsid w:val="00017D6A"/>
    <w:rsid w:val="00020DEA"/>
    <w:rsid w:val="000215B7"/>
    <w:rsid w:val="00021AF8"/>
    <w:rsid w:val="00023CC7"/>
    <w:rsid w:val="0002543C"/>
    <w:rsid w:val="00031B16"/>
    <w:rsid w:val="00032706"/>
    <w:rsid w:val="00037683"/>
    <w:rsid w:val="00044524"/>
    <w:rsid w:val="0005018A"/>
    <w:rsid w:val="00054A6C"/>
    <w:rsid w:val="00054FF5"/>
    <w:rsid w:val="00055FF2"/>
    <w:rsid w:val="00056604"/>
    <w:rsid w:val="000574F7"/>
    <w:rsid w:val="00060D7E"/>
    <w:rsid w:val="000635B2"/>
    <w:rsid w:val="000640A6"/>
    <w:rsid w:val="00067639"/>
    <w:rsid w:val="000714A9"/>
    <w:rsid w:val="0007208D"/>
    <w:rsid w:val="00073AB6"/>
    <w:rsid w:val="00074F87"/>
    <w:rsid w:val="00083D33"/>
    <w:rsid w:val="00087E96"/>
    <w:rsid w:val="00093508"/>
    <w:rsid w:val="00094697"/>
    <w:rsid w:val="000A2541"/>
    <w:rsid w:val="000A2868"/>
    <w:rsid w:val="000A2BB4"/>
    <w:rsid w:val="000A3B8D"/>
    <w:rsid w:val="000A7D83"/>
    <w:rsid w:val="000B0F68"/>
    <w:rsid w:val="000B5223"/>
    <w:rsid w:val="000B6AF7"/>
    <w:rsid w:val="000B6E66"/>
    <w:rsid w:val="000B6FB5"/>
    <w:rsid w:val="000B7D4A"/>
    <w:rsid w:val="000C07E3"/>
    <w:rsid w:val="000C259E"/>
    <w:rsid w:val="000C2D69"/>
    <w:rsid w:val="000C33DB"/>
    <w:rsid w:val="000C39B2"/>
    <w:rsid w:val="000C3F3D"/>
    <w:rsid w:val="000C54BC"/>
    <w:rsid w:val="000C6176"/>
    <w:rsid w:val="000C752F"/>
    <w:rsid w:val="000D0A5D"/>
    <w:rsid w:val="000D0B55"/>
    <w:rsid w:val="000D1E17"/>
    <w:rsid w:val="000D2603"/>
    <w:rsid w:val="000D28C5"/>
    <w:rsid w:val="000D3E15"/>
    <w:rsid w:val="000D5C29"/>
    <w:rsid w:val="000D60F5"/>
    <w:rsid w:val="000D79DE"/>
    <w:rsid w:val="000E227A"/>
    <w:rsid w:val="000E4481"/>
    <w:rsid w:val="000E48AF"/>
    <w:rsid w:val="000F09D6"/>
    <w:rsid w:val="000F32C1"/>
    <w:rsid w:val="000F7EC2"/>
    <w:rsid w:val="001000A8"/>
    <w:rsid w:val="00100AF0"/>
    <w:rsid w:val="00102EC7"/>
    <w:rsid w:val="001048A8"/>
    <w:rsid w:val="00107657"/>
    <w:rsid w:val="001079A2"/>
    <w:rsid w:val="00110021"/>
    <w:rsid w:val="00113910"/>
    <w:rsid w:val="00113ED4"/>
    <w:rsid w:val="00122303"/>
    <w:rsid w:val="00126AEA"/>
    <w:rsid w:val="0013278D"/>
    <w:rsid w:val="00132D67"/>
    <w:rsid w:val="00133B26"/>
    <w:rsid w:val="001358A4"/>
    <w:rsid w:val="00140A51"/>
    <w:rsid w:val="00142FFA"/>
    <w:rsid w:val="0014403A"/>
    <w:rsid w:val="001456BB"/>
    <w:rsid w:val="00146934"/>
    <w:rsid w:val="00146DF9"/>
    <w:rsid w:val="00153DCE"/>
    <w:rsid w:val="001540C6"/>
    <w:rsid w:val="00156D6D"/>
    <w:rsid w:val="00160997"/>
    <w:rsid w:val="001631ED"/>
    <w:rsid w:val="00163807"/>
    <w:rsid w:val="00164B97"/>
    <w:rsid w:val="00165536"/>
    <w:rsid w:val="00165FEC"/>
    <w:rsid w:val="00171F6C"/>
    <w:rsid w:val="00176897"/>
    <w:rsid w:val="001773D0"/>
    <w:rsid w:val="00180B19"/>
    <w:rsid w:val="0018235C"/>
    <w:rsid w:val="001835BB"/>
    <w:rsid w:val="001879C9"/>
    <w:rsid w:val="00191327"/>
    <w:rsid w:val="0019267C"/>
    <w:rsid w:val="00193841"/>
    <w:rsid w:val="00195AC1"/>
    <w:rsid w:val="001966A8"/>
    <w:rsid w:val="001A071D"/>
    <w:rsid w:val="001A6B0A"/>
    <w:rsid w:val="001A6B9C"/>
    <w:rsid w:val="001B1758"/>
    <w:rsid w:val="001B7AAF"/>
    <w:rsid w:val="001B7D0C"/>
    <w:rsid w:val="001C3AC9"/>
    <w:rsid w:val="001D2EB2"/>
    <w:rsid w:val="001D4F1A"/>
    <w:rsid w:val="001D7929"/>
    <w:rsid w:val="001E0AE0"/>
    <w:rsid w:val="001E1590"/>
    <w:rsid w:val="001E22D3"/>
    <w:rsid w:val="001E31B7"/>
    <w:rsid w:val="001E3D86"/>
    <w:rsid w:val="001E6231"/>
    <w:rsid w:val="001E6B4C"/>
    <w:rsid w:val="001F035B"/>
    <w:rsid w:val="001F29A5"/>
    <w:rsid w:val="001F3605"/>
    <w:rsid w:val="001F4E05"/>
    <w:rsid w:val="001F7ADD"/>
    <w:rsid w:val="00200B54"/>
    <w:rsid w:val="002015B8"/>
    <w:rsid w:val="00202E6F"/>
    <w:rsid w:val="00207E12"/>
    <w:rsid w:val="00211849"/>
    <w:rsid w:val="0021287F"/>
    <w:rsid w:val="00212C20"/>
    <w:rsid w:val="00212EAD"/>
    <w:rsid w:val="0021525B"/>
    <w:rsid w:val="00220046"/>
    <w:rsid w:val="0022092C"/>
    <w:rsid w:val="00224399"/>
    <w:rsid w:val="002249CB"/>
    <w:rsid w:val="002256E7"/>
    <w:rsid w:val="00226E4A"/>
    <w:rsid w:val="00226F5A"/>
    <w:rsid w:val="00232048"/>
    <w:rsid w:val="002336D8"/>
    <w:rsid w:val="00234347"/>
    <w:rsid w:val="002413C9"/>
    <w:rsid w:val="00242965"/>
    <w:rsid w:val="00246EB0"/>
    <w:rsid w:val="0025060B"/>
    <w:rsid w:val="00250AA4"/>
    <w:rsid w:val="00252FA7"/>
    <w:rsid w:val="00253EC7"/>
    <w:rsid w:val="0026281F"/>
    <w:rsid w:val="00264B16"/>
    <w:rsid w:val="00266D53"/>
    <w:rsid w:val="00271BC1"/>
    <w:rsid w:val="00275025"/>
    <w:rsid w:val="00276190"/>
    <w:rsid w:val="00276E52"/>
    <w:rsid w:val="00277B53"/>
    <w:rsid w:val="00277BEB"/>
    <w:rsid w:val="002800C8"/>
    <w:rsid w:val="00282AE3"/>
    <w:rsid w:val="0028378F"/>
    <w:rsid w:val="00283DCC"/>
    <w:rsid w:val="00284AAC"/>
    <w:rsid w:val="00287211"/>
    <w:rsid w:val="00291E5D"/>
    <w:rsid w:val="00291F7E"/>
    <w:rsid w:val="00292075"/>
    <w:rsid w:val="002934EC"/>
    <w:rsid w:val="00293651"/>
    <w:rsid w:val="00294CD6"/>
    <w:rsid w:val="00295F0C"/>
    <w:rsid w:val="00296606"/>
    <w:rsid w:val="00296CD0"/>
    <w:rsid w:val="002A16FE"/>
    <w:rsid w:val="002A63AD"/>
    <w:rsid w:val="002A7A69"/>
    <w:rsid w:val="002A7F11"/>
    <w:rsid w:val="002B346C"/>
    <w:rsid w:val="002B5790"/>
    <w:rsid w:val="002B6AE7"/>
    <w:rsid w:val="002D4BA6"/>
    <w:rsid w:val="002D56D8"/>
    <w:rsid w:val="002D5DF1"/>
    <w:rsid w:val="002D6BB1"/>
    <w:rsid w:val="002D7CF7"/>
    <w:rsid w:val="002E0140"/>
    <w:rsid w:val="002E059E"/>
    <w:rsid w:val="002E0F4B"/>
    <w:rsid w:val="002E1272"/>
    <w:rsid w:val="002E1F93"/>
    <w:rsid w:val="002E2488"/>
    <w:rsid w:val="002E24F2"/>
    <w:rsid w:val="002E27EE"/>
    <w:rsid w:val="002E39B8"/>
    <w:rsid w:val="002E5A96"/>
    <w:rsid w:val="002E6CB3"/>
    <w:rsid w:val="002E7ADF"/>
    <w:rsid w:val="002F001F"/>
    <w:rsid w:val="002F240D"/>
    <w:rsid w:val="00302B97"/>
    <w:rsid w:val="00311BAF"/>
    <w:rsid w:val="0031389C"/>
    <w:rsid w:val="003150E2"/>
    <w:rsid w:val="00315258"/>
    <w:rsid w:val="00315590"/>
    <w:rsid w:val="003211C9"/>
    <w:rsid w:val="00322145"/>
    <w:rsid w:val="0032257B"/>
    <w:rsid w:val="0032428A"/>
    <w:rsid w:val="00324688"/>
    <w:rsid w:val="00325011"/>
    <w:rsid w:val="003257FE"/>
    <w:rsid w:val="003258B9"/>
    <w:rsid w:val="00330388"/>
    <w:rsid w:val="0033496D"/>
    <w:rsid w:val="0033757B"/>
    <w:rsid w:val="00345153"/>
    <w:rsid w:val="00346047"/>
    <w:rsid w:val="003567A4"/>
    <w:rsid w:val="00356D10"/>
    <w:rsid w:val="00356F33"/>
    <w:rsid w:val="003574BB"/>
    <w:rsid w:val="00361A75"/>
    <w:rsid w:val="0036291E"/>
    <w:rsid w:val="003639B6"/>
    <w:rsid w:val="003646B5"/>
    <w:rsid w:val="00365CA6"/>
    <w:rsid w:val="00367D00"/>
    <w:rsid w:val="003704A6"/>
    <w:rsid w:val="00370AE7"/>
    <w:rsid w:val="00371E66"/>
    <w:rsid w:val="0037208F"/>
    <w:rsid w:val="003746D8"/>
    <w:rsid w:val="003767C5"/>
    <w:rsid w:val="00377E89"/>
    <w:rsid w:val="00390F66"/>
    <w:rsid w:val="00392120"/>
    <w:rsid w:val="003942B3"/>
    <w:rsid w:val="00394B4F"/>
    <w:rsid w:val="003A1024"/>
    <w:rsid w:val="003A3AC2"/>
    <w:rsid w:val="003B1B90"/>
    <w:rsid w:val="003B2FCF"/>
    <w:rsid w:val="003B6D5C"/>
    <w:rsid w:val="003C154A"/>
    <w:rsid w:val="003C3AE0"/>
    <w:rsid w:val="003C5799"/>
    <w:rsid w:val="003C7276"/>
    <w:rsid w:val="003D1A64"/>
    <w:rsid w:val="003D2216"/>
    <w:rsid w:val="003D26F5"/>
    <w:rsid w:val="003D3A4E"/>
    <w:rsid w:val="003D55EC"/>
    <w:rsid w:val="003E1FBE"/>
    <w:rsid w:val="003E2542"/>
    <w:rsid w:val="003E3DBA"/>
    <w:rsid w:val="003E4C39"/>
    <w:rsid w:val="003E5243"/>
    <w:rsid w:val="003E58C1"/>
    <w:rsid w:val="003E5B12"/>
    <w:rsid w:val="003F0646"/>
    <w:rsid w:val="003F133A"/>
    <w:rsid w:val="003F2F18"/>
    <w:rsid w:val="003F426C"/>
    <w:rsid w:val="003F4906"/>
    <w:rsid w:val="003F625E"/>
    <w:rsid w:val="0040089B"/>
    <w:rsid w:val="004018D6"/>
    <w:rsid w:val="00401A9F"/>
    <w:rsid w:val="00401D5B"/>
    <w:rsid w:val="004039E6"/>
    <w:rsid w:val="00405879"/>
    <w:rsid w:val="004106A1"/>
    <w:rsid w:val="00410BF9"/>
    <w:rsid w:val="00410CE4"/>
    <w:rsid w:val="004113F2"/>
    <w:rsid w:val="0041184C"/>
    <w:rsid w:val="00414263"/>
    <w:rsid w:val="00414A97"/>
    <w:rsid w:val="00415D5D"/>
    <w:rsid w:val="00416BCA"/>
    <w:rsid w:val="00417E4D"/>
    <w:rsid w:val="0042110F"/>
    <w:rsid w:val="00425579"/>
    <w:rsid w:val="00430196"/>
    <w:rsid w:val="00432478"/>
    <w:rsid w:val="004327EA"/>
    <w:rsid w:val="00434417"/>
    <w:rsid w:val="0044000E"/>
    <w:rsid w:val="00442B40"/>
    <w:rsid w:val="00443F4B"/>
    <w:rsid w:val="00446136"/>
    <w:rsid w:val="00446C14"/>
    <w:rsid w:val="004476B2"/>
    <w:rsid w:val="00450D14"/>
    <w:rsid w:val="00456C3A"/>
    <w:rsid w:val="0045705E"/>
    <w:rsid w:val="004650B6"/>
    <w:rsid w:val="00465AB0"/>
    <w:rsid w:val="004670D4"/>
    <w:rsid w:val="004725F3"/>
    <w:rsid w:val="00476FE1"/>
    <w:rsid w:val="00480EE9"/>
    <w:rsid w:val="00482217"/>
    <w:rsid w:val="004826CC"/>
    <w:rsid w:val="00483ACF"/>
    <w:rsid w:val="004903E6"/>
    <w:rsid w:val="004936CE"/>
    <w:rsid w:val="00493EB5"/>
    <w:rsid w:val="004A3D90"/>
    <w:rsid w:val="004A43CB"/>
    <w:rsid w:val="004A73DC"/>
    <w:rsid w:val="004B0A09"/>
    <w:rsid w:val="004B4B04"/>
    <w:rsid w:val="004B6B2A"/>
    <w:rsid w:val="004B71A9"/>
    <w:rsid w:val="004C1A8D"/>
    <w:rsid w:val="004C444C"/>
    <w:rsid w:val="004C557E"/>
    <w:rsid w:val="004C58C9"/>
    <w:rsid w:val="004C77F6"/>
    <w:rsid w:val="004D2C0F"/>
    <w:rsid w:val="004D3231"/>
    <w:rsid w:val="004D5699"/>
    <w:rsid w:val="004D5E40"/>
    <w:rsid w:val="004D6036"/>
    <w:rsid w:val="004D64E2"/>
    <w:rsid w:val="004E2D09"/>
    <w:rsid w:val="004E4B28"/>
    <w:rsid w:val="004E4CC4"/>
    <w:rsid w:val="004F4A6C"/>
    <w:rsid w:val="004F72C0"/>
    <w:rsid w:val="0050151D"/>
    <w:rsid w:val="005037CB"/>
    <w:rsid w:val="00504BFC"/>
    <w:rsid w:val="0050568E"/>
    <w:rsid w:val="00505714"/>
    <w:rsid w:val="005140DD"/>
    <w:rsid w:val="005169DF"/>
    <w:rsid w:val="00516F83"/>
    <w:rsid w:val="00520B2E"/>
    <w:rsid w:val="00521E0B"/>
    <w:rsid w:val="00522774"/>
    <w:rsid w:val="00523A2A"/>
    <w:rsid w:val="00525561"/>
    <w:rsid w:val="005266ED"/>
    <w:rsid w:val="0053064B"/>
    <w:rsid w:val="0053274C"/>
    <w:rsid w:val="005341B0"/>
    <w:rsid w:val="00534F27"/>
    <w:rsid w:val="00540515"/>
    <w:rsid w:val="00545401"/>
    <w:rsid w:val="00550F5D"/>
    <w:rsid w:val="00551268"/>
    <w:rsid w:val="00555781"/>
    <w:rsid w:val="00556A3D"/>
    <w:rsid w:val="005617FB"/>
    <w:rsid w:val="00561B54"/>
    <w:rsid w:val="0056410F"/>
    <w:rsid w:val="005648BA"/>
    <w:rsid w:val="0056518D"/>
    <w:rsid w:val="00572886"/>
    <w:rsid w:val="0057386F"/>
    <w:rsid w:val="0057432E"/>
    <w:rsid w:val="00576031"/>
    <w:rsid w:val="0057622E"/>
    <w:rsid w:val="00577049"/>
    <w:rsid w:val="005812F0"/>
    <w:rsid w:val="00582B10"/>
    <w:rsid w:val="005873B5"/>
    <w:rsid w:val="005876A6"/>
    <w:rsid w:val="00591F21"/>
    <w:rsid w:val="005926D0"/>
    <w:rsid w:val="005929BF"/>
    <w:rsid w:val="005942E3"/>
    <w:rsid w:val="005965CA"/>
    <w:rsid w:val="00597B54"/>
    <w:rsid w:val="005A26B4"/>
    <w:rsid w:val="005A3303"/>
    <w:rsid w:val="005A3E87"/>
    <w:rsid w:val="005A4CCB"/>
    <w:rsid w:val="005B6F8C"/>
    <w:rsid w:val="005C10B2"/>
    <w:rsid w:val="005C15F5"/>
    <w:rsid w:val="005C251E"/>
    <w:rsid w:val="005C29DE"/>
    <w:rsid w:val="005C352F"/>
    <w:rsid w:val="005C3E90"/>
    <w:rsid w:val="005D2E05"/>
    <w:rsid w:val="005E3802"/>
    <w:rsid w:val="005E6226"/>
    <w:rsid w:val="00600799"/>
    <w:rsid w:val="006008E8"/>
    <w:rsid w:val="00601A30"/>
    <w:rsid w:val="00605E78"/>
    <w:rsid w:val="006113E7"/>
    <w:rsid w:val="00611AA2"/>
    <w:rsid w:val="00613462"/>
    <w:rsid w:val="00613919"/>
    <w:rsid w:val="0061495C"/>
    <w:rsid w:val="00614FC9"/>
    <w:rsid w:val="006179D5"/>
    <w:rsid w:val="00620D5D"/>
    <w:rsid w:val="00621EB1"/>
    <w:rsid w:val="006221C5"/>
    <w:rsid w:val="00624890"/>
    <w:rsid w:val="00627A16"/>
    <w:rsid w:val="00630780"/>
    <w:rsid w:val="0063273A"/>
    <w:rsid w:val="00634D72"/>
    <w:rsid w:val="00634F18"/>
    <w:rsid w:val="00641071"/>
    <w:rsid w:val="00642836"/>
    <w:rsid w:val="0064384A"/>
    <w:rsid w:val="00646580"/>
    <w:rsid w:val="00646DB5"/>
    <w:rsid w:val="006472EE"/>
    <w:rsid w:val="0065268A"/>
    <w:rsid w:val="00654590"/>
    <w:rsid w:val="00655AF6"/>
    <w:rsid w:val="00656144"/>
    <w:rsid w:val="00656587"/>
    <w:rsid w:val="00660685"/>
    <w:rsid w:val="00662AA0"/>
    <w:rsid w:val="006646A4"/>
    <w:rsid w:val="00666909"/>
    <w:rsid w:val="006713EC"/>
    <w:rsid w:val="00671661"/>
    <w:rsid w:val="0067252B"/>
    <w:rsid w:val="006739FF"/>
    <w:rsid w:val="00673F68"/>
    <w:rsid w:val="00676671"/>
    <w:rsid w:val="0067742D"/>
    <w:rsid w:val="006803D3"/>
    <w:rsid w:val="00685F25"/>
    <w:rsid w:val="00687E18"/>
    <w:rsid w:val="0069164A"/>
    <w:rsid w:val="00693217"/>
    <w:rsid w:val="00694176"/>
    <w:rsid w:val="00694DA3"/>
    <w:rsid w:val="006956BE"/>
    <w:rsid w:val="00696A3F"/>
    <w:rsid w:val="006970D3"/>
    <w:rsid w:val="00697F1F"/>
    <w:rsid w:val="006A0004"/>
    <w:rsid w:val="006A0988"/>
    <w:rsid w:val="006A1B59"/>
    <w:rsid w:val="006A2040"/>
    <w:rsid w:val="006A25F8"/>
    <w:rsid w:val="006A6122"/>
    <w:rsid w:val="006B1C73"/>
    <w:rsid w:val="006B2351"/>
    <w:rsid w:val="006B38DD"/>
    <w:rsid w:val="006B4165"/>
    <w:rsid w:val="006B59D3"/>
    <w:rsid w:val="006C0816"/>
    <w:rsid w:val="006C118F"/>
    <w:rsid w:val="006C274C"/>
    <w:rsid w:val="006C4653"/>
    <w:rsid w:val="006C4849"/>
    <w:rsid w:val="006C74B2"/>
    <w:rsid w:val="006D01DC"/>
    <w:rsid w:val="006D0496"/>
    <w:rsid w:val="006D3BAE"/>
    <w:rsid w:val="006D4410"/>
    <w:rsid w:val="006D4BAB"/>
    <w:rsid w:val="006D55B4"/>
    <w:rsid w:val="006D58E8"/>
    <w:rsid w:val="006E2FB8"/>
    <w:rsid w:val="006E3434"/>
    <w:rsid w:val="006E5667"/>
    <w:rsid w:val="006E69D5"/>
    <w:rsid w:val="006F069B"/>
    <w:rsid w:val="006F17C9"/>
    <w:rsid w:val="006F3260"/>
    <w:rsid w:val="006F4FB6"/>
    <w:rsid w:val="006F7C8D"/>
    <w:rsid w:val="00700754"/>
    <w:rsid w:val="00701724"/>
    <w:rsid w:val="00706C33"/>
    <w:rsid w:val="0071100B"/>
    <w:rsid w:val="00714417"/>
    <w:rsid w:val="007174AC"/>
    <w:rsid w:val="00722569"/>
    <w:rsid w:val="00732A05"/>
    <w:rsid w:val="0073769D"/>
    <w:rsid w:val="00740A0A"/>
    <w:rsid w:val="00741DA5"/>
    <w:rsid w:val="00743202"/>
    <w:rsid w:val="00743C45"/>
    <w:rsid w:val="00745D96"/>
    <w:rsid w:val="00750A1E"/>
    <w:rsid w:val="0075156E"/>
    <w:rsid w:val="00754314"/>
    <w:rsid w:val="00755321"/>
    <w:rsid w:val="007557CD"/>
    <w:rsid w:val="00760327"/>
    <w:rsid w:val="0076522A"/>
    <w:rsid w:val="007663B4"/>
    <w:rsid w:val="00771956"/>
    <w:rsid w:val="00771E7D"/>
    <w:rsid w:val="00780603"/>
    <w:rsid w:val="00780BE2"/>
    <w:rsid w:val="00781878"/>
    <w:rsid w:val="00781C7F"/>
    <w:rsid w:val="00782CB5"/>
    <w:rsid w:val="00783C80"/>
    <w:rsid w:val="007935CA"/>
    <w:rsid w:val="00795942"/>
    <w:rsid w:val="00796520"/>
    <w:rsid w:val="00797ACF"/>
    <w:rsid w:val="007B2035"/>
    <w:rsid w:val="007B3CA4"/>
    <w:rsid w:val="007B416F"/>
    <w:rsid w:val="007B4595"/>
    <w:rsid w:val="007B70BC"/>
    <w:rsid w:val="007C1AAA"/>
    <w:rsid w:val="007C3D2A"/>
    <w:rsid w:val="007C4264"/>
    <w:rsid w:val="007D227F"/>
    <w:rsid w:val="007D4765"/>
    <w:rsid w:val="007D69F5"/>
    <w:rsid w:val="007D78DE"/>
    <w:rsid w:val="007E45D2"/>
    <w:rsid w:val="007F0CD1"/>
    <w:rsid w:val="007F406E"/>
    <w:rsid w:val="007F77FE"/>
    <w:rsid w:val="007F7A8B"/>
    <w:rsid w:val="007F7B81"/>
    <w:rsid w:val="008006C3"/>
    <w:rsid w:val="00800835"/>
    <w:rsid w:val="0080168E"/>
    <w:rsid w:val="00801EB1"/>
    <w:rsid w:val="00802216"/>
    <w:rsid w:val="00802C84"/>
    <w:rsid w:val="0080340A"/>
    <w:rsid w:val="00804B29"/>
    <w:rsid w:val="00804ED5"/>
    <w:rsid w:val="00805081"/>
    <w:rsid w:val="008078AE"/>
    <w:rsid w:val="00810C6D"/>
    <w:rsid w:val="0081123E"/>
    <w:rsid w:val="00813126"/>
    <w:rsid w:val="0081403D"/>
    <w:rsid w:val="00820E3D"/>
    <w:rsid w:val="00821699"/>
    <w:rsid w:val="0082175B"/>
    <w:rsid w:val="008328CB"/>
    <w:rsid w:val="008355BC"/>
    <w:rsid w:val="008356C2"/>
    <w:rsid w:val="008361F2"/>
    <w:rsid w:val="00840235"/>
    <w:rsid w:val="00841279"/>
    <w:rsid w:val="00841285"/>
    <w:rsid w:val="00844577"/>
    <w:rsid w:val="00845325"/>
    <w:rsid w:val="00845D83"/>
    <w:rsid w:val="00846A41"/>
    <w:rsid w:val="00850CE0"/>
    <w:rsid w:val="00850CE9"/>
    <w:rsid w:val="008518BA"/>
    <w:rsid w:val="00852413"/>
    <w:rsid w:val="00852B0D"/>
    <w:rsid w:val="00854BBB"/>
    <w:rsid w:val="0085560F"/>
    <w:rsid w:val="00855E42"/>
    <w:rsid w:val="0086169E"/>
    <w:rsid w:val="00866510"/>
    <w:rsid w:val="0086783A"/>
    <w:rsid w:val="0087107A"/>
    <w:rsid w:val="008724AC"/>
    <w:rsid w:val="008735CF"/>
    <w:rsid w:val="00873C8E"/>
    <w:rsid w:val="008829BE"/>
    <w:rsid w:val="008866A4"/>
    <w:rsid w:val="00887C0F"/>
    <w:rsid w:val="008A00F7"/>
    <w:rsid w:val="008A2C2D"/>
    <w:rsid w:val="008A5305"/>
    <w:rsid w:val="008A5762"/>
    <w:rsid w:val="008A6B4B"/>
    <w:rsid w:val="008B1E0C"/>
    <w:rsid w:val="008B6127"/>
    <w:rsid w:val="008B6984"/>
    <w:rsid w:val="008C023F"/>
    <w:rsid w:val="008C14AC"/>
    <w:rsid w:val="008C1C50"/>
    <w:rsid w:val="008C3358"/>
    <w:rsid w:val="008D2F40"/>
    <w:rsid w:val="008D5BB6"/>
    <w:rsid w:val="008D765F"/>
    <w:rsid w:val="008E18CA"/>
    <w:rsid w:val="008E4F2D"/>
    <w:rsid w:val="008E68E8"/>
    <w:rsid w:val="008F2A80"/>
    <w:rsid w:val="008F3D1D"/>
    <w:rsid w:val="008F3E09"/>
    <w:rsid w:val="008F5400"/>
    <w:rsid w:val="008F5E5F"/>
    <w:rsid w:val="008F6BC9"/>
    <w:rsid w:val="008F6BCB"/>
    <w:rsid w:val="008F7C6D"/>
    <w:rsid w:val="0090004A"/>
    <w:rsid w:val="009007A4"/>
    <w:rsid w:val="00902A2A"/>
    <w:rsid w:val="00903927"/>
    <w:rsid w:val="009106F4"/>
    <w:rsid w:val="00920E98"/>
    <w:rsid w:val="00921B2C"/>
    <w:rsid w:val="0092346A"/>
    <w:rsid w:val="00925FF5"/>
    <w:rsid w:val="0093521E"/>
    <w:rsid w:val="009354E2"/>
    <w:rsid w:val="009372C7"/>
    <w:rsid w:val="00940B00"/>
    <w:rsid w:val="00943AF4"/>
    <w:rsid w:val="0094421B"/>
    <w:rsid w:val="00944244"/>
    <w:rsid w:val="009501A5"/>
    <w:rsid w:val="00951586"/>
    <w:rsid w:val="009529E9"/>
    <w:rsid w:val="00953634"/>
    <w:rsid w:val="00953D4A"/>
    <w:rsid w:val="00954253"/>
    <w:rsid w:val="00954D5B"/>
    <w:rsid w:val="00962560"/>
    <w:rsid w:val="00962B79"/>
    <w:rsid w:val="00962C41"/>
    <w:rsid w:val="00963936"/>
    <w:rsid w:val="00965C2E"/>
    <w:rsid w:val="00966A42"/>
    <w:rsid w:val="00972462"/>
    <w:rsid w:val="00974FB4"/>
    <w:rsid w:val="009751B4"/>
    <w:rsid w:val="009753CA"/>
    <w:rsid w:val="0097777B"/>
    <w:rsid w:val="00980FE0"/>
    <w:rsid w:val="00981A5D"/>
    <w:rsid w:val="00981E17"/>
    <w:rsid w:val="00982E18"/>
    <w:rsid w:val="009839D3"/>
    <w:rsid w:val="00986382"/>
    <w:rsid w:val="00993EB9"/>
    <w:rsid w:val="009A14C4"/>
    <w:rsid w:val="009A6207"/>
    <w:rsid w:val="009A6374"/>
    <w:rsid w:val="009A79ED"/>
    <w:rsid w:val="009B2927"/>
    <w:rsid w:val="009B29F8"/>
    <w:rsid w:val="009B38F8"/>
    <w:rsid w:val="009B6905"/>
    <w:rsid w:val="009C0B03"/>
    <w:rsid w:val="009C284A"/>
    <w:rsid w:val="009C28CC"/>
    <w:rsid w:val="009C3E05"/>
    <w:rsid w:val="009D04E5"/>
    <w:rsid w:val="009D31AC"/>
    <w:rsid w:val="009D3214"/>
    <w:rsid w:val="009D533F"/>
    <w:rsid w:val="009E11B4"/>
    <w:rsid w:val="009E1626"/>
    <w:rsid w:val="009E18A3"/>
    <w:rsid w:val="009E4990"/>
    <w:rsid w:val="009E4F75"/>
    <w:rsid w:val="009F0468"/>
    <w:rsid w:val="009F25ED"/>
    <w:rsid w:val="009F4456"/>
    <w:rsid w:val="009F6F1B"/>
    <w:rsid w:val="009F75C8"/>
    <w:rsid w:val="009F7E16"/>
    <w:rsid w:val="00A04F3B"/>
    <w:rsid w:val="00A05435"/>
    <w:rsid w:val="00A10422"/>
    <w:rsid w:val="00A12891"/>
    <w:rsid w:val="00A12A4B"/>
    <w:rsid w:val="00A164F3"/>
    <w:rsid w:val="00A16636"/>
    <w:rsid w:val="00A1768C"/>
    <w:rsid w:val="00A20B80"/>
    <w:rsid w:val="00A228A7"/>
    <w:rsid w:val="00A22FA8"/>
    <w:rsid w:val="00A24D62"/>
    <w:rsid w:val="00A251EC"/>
    <w:rsid w:val="00A26E24"/>
    <w:rsid w:val="00A27A48"/>
    <w:rsid w:val="00A27B23"/>
    <w:rsid w:val="00A3456F"/>
    <w:rsid w:val="00A3537D"/>
    <w:rsid w:val="00A41A7D"/>
    <w:rsid w:val="00A42C0E"/>
    <w:rsid w:val="00A46D9D"/>
    <w:rsid w:val="00A472CB"/>
    <w:rsid w:val="00A50CF6"/>
    <w:rsid w:val="00A5715B"/>
    <w:rsid w:val="00A57233"/>
    <w:rsid w:val="00A6124E"/>
    <w:rsid w:val="00A63D2E"/>
    <w:rsid w:val="00A71F52"/>
    <w:rsid w:val="00A731D8"/>
    <w:rsid w:val="00A7396A"/>
    <w:rsid w:val="00A86B70"/>
    <w:rsid w:val="00A92E28"/>
    <w:rsid w:val="00A95577"/>
    <w:rsid w:val="00A95BDB"/>
    <w:rsid w:val="00AA0458"/>
    <w:rsid w:val="00AA2F30"/>
    <w:rsid w:val="00AA4E1D"/>
    <w:rsid w:val="00AB2732"/>
    <w:rsid w:val="00AB2990"/>
    <w:rsid w:val="00AB64D7"/>
    <w:rsid w:val="00AB75B4"/>
    <w:rsid w:val="00AC4763"/>
    <w:rsid w:val="00AD01CA"/>
    <w:rsid w:val="00AD0BAE"/>
    <w:rsid w:val="00AD1D4A"/>
    <w:rsid w:val="00AE0D20"/>
    <w:rsid w:val="00AE13C8"/>
    <w:rsid w:val="00AE386A"/>
    <w:rsid w:val="00AE3B54"/>
    <w:rsid w:val="00AF4A9D"/>
    <w:rsid w:val="00AF54F9"/>
    <w:rsid w:val="00AF6891"/>
    <w:rsid w:val="00AF6DCC"/>
    <w:rsid w:val="00B02B75"/>
    <w:rsid w:val="00B06676"/>
    <w:rsid w:val="00B069D8"/>
    <w:rsid w:val="00B072A9"/>
    <w:rsid w:val="00B1222D"/>
    <w:rsid w:val="00B152C4"/>
    <w:rsid w:val="00B158A0"/>
    <w:rsid w:val="00B16167"/>
    <w:rsid w:val="00B17494"/>
    <w:rsid w:val="00B203CA"/>
    <w:rsid w:val="00B20C68"/>
    <w:rsid w:val="00B21FC5"/>
    <w:rsid w:val="00B22CB8"/>
    <w:rsid w:val="00B24581"/>
    <w:rsid w:val="00B24A56"/>
    <w:rsid w:val="00B25EAE"/>
    <w:rsid w:val="00B3087E"/>
    <w:rsid w:val="00B30FBD"/>
    <w:rsid w:val="00B3594C"/>
    <w:rsid w:val="00B36852"/>
    <w:rsid w:val="00B3685F"/>
    <w:rsid w:val="00B459F9"/>
    <w:rsid w:val="00B465D9"/>
    <w:rsid w:val="00B502CA"/>
    <w:rsid w:val="00B5072A"/>
    <w:rsid w:val="00B52DCE"/>
    <w:rsid w:val="00B52F10"/>
    <w:rsid w:val="00B531D9"/>
    <w:rsid w:val="00B5365C"/>
    <w:rsid w:val="00B57386"/>
    <w:rsid w:val="00B579A1"/>
    <w:rsid w:val="00B64A2A"/>
    <w:rsid w:val="00B655DC"/>
    <w:rsid w:val="00B70CEF"/>
    <w:rsid w:val="00B77B0E"/>
    <w:rsid w:val="00B80248"/>
    <w:rsid w:val="00B8144E"/>
    <w:rsid w:val="00B81AB4"/>
    <w:rsid w:val="00B82333"/>
    <w:rsid w:val="00B82A07"/>
    <w:rsid w:val="00B83086"/>
    <w:rsid w:val="00B832EB"/>
    <w:rsid w:val="00B851DA"/>
    <w:rsid w:val="00B86FE2"/>
    <w:rsid w:val="00B87447"/>
    <w:rsid w:val="00B87606"/>
    <w:rsid w:val="00B87A26"/>
    <w:rsid w:val="00B9183E"/>
    <w:rsid w:val="00B91B14"/>
    <w:rsid w:val="00B9255C"/>
    <w:rsid w:val="00B92EB9"/>
    <w:rsid w:val="00B941C6"/>
    <w:rsid w:val="00B9636C"/>
    <w:rsid w:val="00B97CC3"/>
    <w:rsid w:val="00BA2D9D"/>
    <w:rsid w:val="00BA3A55"/>
    <w:rsid w:val="00BA43D6"/>
    <w:rsid w:val="00BA47BE"/>
    <w:rsid w:val="00BA4F3B"/>
    <w:rsid w:val="00BA7660"/>
    <w:rsid w:val="00BB0701"/>
    <w:rsid w:val="00BB4883"/>
    <w:rsid w:val="00BB51CC"/>
    <w:rsid w:val="00BB5568"/>
    <w:rsid w:val="00BB6AC9"/>
    <w:rsid w:val="00BC2F20"/>
    <w:rsid w:val="00BC30EE"/>
    <w:rsid w:val="00BC590A"/>
    <w:rsid w:val="00BC7CAE"/>
    <w:rsid w:val="00BC7F77"/>
    <w:rsid w:val="00BD288A"/>
    <w:rsid w:val="00BD3865"/>
    <w:rsid w:val="00BD4D3E"/>
    <w:rsid w:val="00BD59DC"/>
    <w:rsid w:val="00BD6B95"/>
    <w:rsid w:val="00BD7550"/>
    <w:rsid w:val="00BD757B"/>
    <w:rsid w:val="00BD7E20"/>
    <w:rsid w:val="00BE6617"/>
    <w:rsid w:val="00BF0AA7"/>
    <w:rsid w:val="00BF1A40"/>
    <w:rsid w:val="00BF3F16"/>
    <w:rsid w:val="00BF546E"/>
    <w:rsid w:val="00BF6A10"/>
    <w:rsid w:val="00BF77A9"/>
    <w:rsid w:val="00BF78FC"/>
    <w:rsid w:val="00C01B21"/>
    <w:rsid w:val="00C03AF5"/>
    <w:rsid w:val="00C04D3D"/>
    <w:rsid w:val="00C05BF3"/>
    <w:rsid w:val="00C12D4E"/>
    <w:rsid w:val="00C13CFA"/>
    <w:rsid w:val="00C13FA9"/>
    <w:rsid w:val="00C153CE"/>
    <w:rsid w:val="00C168EF"/>
    <w:rsid w:val="00C16A09"/>
    <w:rsid w:val="00C270D1"/>
    <w:rsid w:val="00C27E68"/>
    <w:rsid w:val="00C306EE"/>
    <w:rsid w:val="00C30AE2"/>
    <w:rsid w:val="00C32B16"/>
    <w:rsid w:val="00C34A4F"/>
    <w:rsid w:val="00C35282"/>
    <w:rsid w:val="00C417C0"/>
    <w:rsid w:val="00C42C71"/>
    <w:rsid w:val="00C43F5B"/>
    <w:rsid w:val="00C442BD"/>
    <w:rsid w:val="00C46EAF"/>
    <w:rsid w:val="00C5421C"/>
    <w:rsid w:val="00C54FA4"/>
    <w:rsid w:val="00C61014"/>
    <w:rsid w:val="00C6299C"/>
    <w:rsid w:val="00C62CA4"/>
    <w:rsid w:val="00C66695"/>
    <w:rsid w:val="00C6756F"/>
    <w:rsid w:val="00C67F57"/>
    <w:rsid w:val="00C736A0"/>
    <w:rsid w:val="00C74557"/>
    <w:rsid w:val="00C74A10"/>
    <w:rsid w:val="00C74ACD"/>
    <w:rsid w:val="00C82B17"/>
    <w:rsid w:val="00C82B90"/>
    <w:rsid w:val="00C834E3"/>
    <w:rsid w:val="00C83C5F"/>
    <w:rsid w:val="00C84419"/>
    <w:rsid w:val="00C86994"/>
    <w:rsid w:val="00C86F12"/>
    <w:rsid w:val="00C87F37"/>
    <w:rsid w:val="00C93326"/>
    <w:rsid w:val="00C952A8"/>
    <w:rsid w:val="00C9572F"/>
    <w:rsid w:val="00CA132D"/>
    <w:rsid w:val="00CA1999"/>
    <w:rsid w:val="00CA58D0"/>
    <w:rsid w:val="00CA6316"/>
    <w:rsid w:val="00CB0269"/>
    <w:rsid w:val="00CB17C3"/>
    <w:rsid w:val="00CB19DF"/>
    <w:rsid w:val="00CB5566"/>
    <w:rsid w:val="00CB6AAB"/>
    <w:rsid w:val="00CB767F"/>
    <w:rsid w:val="00CB7F2A"/>
    <w:rsid w:val="00CC0A69"/>
    <w:rsid w:val="00CC210A"/>
    <w:rsid w:val="00CC3C1C"/>
    <w:rsid w:val="00CC53B3"/>
    <w:rsid w:val="00CC6362"/>
    <w:rsid w:val="00CC775F"/>
    <w:rsid w:val="00CD2BC3"/>
    <w:rsid w:val="00CD5D81"/>
    <w:rsid w:val="00CD6449"/>
    <w:rsid w:val="00CD7773"/>
    <w:rsid w:val="00CE2B53"/>
    <w:rsid w:val="00CE4260"/>
    <w:rsid w:val="00CE4BBA"/>
    <w:rsid w:val="00CE6F33"/>
    <w:rsid w:val="00CE73C4"/>
    <w:rsid w:val="00CF5764"/>
    <w:rsid w:val="00D00033"/>
    <w:rsid w:val="00D0027A"/>
    <w:rsid w:val="00D00802"/>
    <w:rsid w:val="00D03FE6"/>
    <w:rsid w:val="00D07E17"/>
    <w:rsid w:val="00D100C6"/>
    <w:rsid w:val="00D143B3"/>
    <w:rsid w:val="00D20147"/>
    <w:rsid w:val="00D2047F"/>
    <w:rsid w:val="00D233CB"/>
    <w:rsid w:val="00D2472E"/>
    <w:rsid w:val="00D273DD"/>
    <w:rsid w:val="00D30448"/>
    <w:rsid w:val="00D313FA"/>
    <w:rsid w:val="00D31E24"/>
    <w:rsid w:val="00D33D71"/>
    <w:rsid w:val="00D360DD"/>
    <w:rsid w:val="00D37EE6"/>
    <w:rsid w:val="00D4062C"/>
    <w:rsid w:val="00D412C3"/>
    <w:rsid w:val="00D4259E"/>
    <w:rsid w:val="00D4341F"/>
    <w:rsid w:val="00D43AFD"/>
    <w:rsid w:val="00D447B6"/>
    <w:rsid w:val="00D462E2"/>
    <w:rsid w:val="00D47BF3"/>
    <w:rsid w:val="00D506CE"/>
    <w:rsid w:val="00D61BCA"/>
    <w:rsid w:val="00D64134"/>
    <w:rsid w:val="00D661EB"/>
    <w:rsid w:val="00D66494"/>
    <w:rsid w:val="00D7058B"/>
    <w:rsid w:val="00D77DE6"/>
    <w:rsid w:val="00D809B6"/>
    <w:rsid w:val="00D817F3"/>
    <w:rsid w:val="00D83EB9"/>
    <w:rsid w:val="00D85416"/>
    <w:rsid w:val="00D86CF1"/>
    <w:rsid w:val="00D91DD9"/>
    <w:rsid w:val="00DA14AC"/>
    <w:rsid w:val="00DB2CF0"/>
    <w:rsid w:val="00DB39E3"/>
    <w:rsid w:val="00DB41E4"/>
    <w:rsid w:val="00DC00DF"/>
    <w:rsid w:val="00DC06D0"/>
    <w:rsid w:val="00DD1388"/>
    <w:rsid w:val="00DD2A0D"/>
    <w:rsid w:val="00DD2E26"/>
    <w:rsid w:val="00DD2F79"/>
    <w:rsid w:val="00DD56D1"/>
    <w:rsid w:val="00DD722B"/>
    <w:rsid w:val="00DE27A7"/>
    <w:rsid w:val="00DE4276"/>
    <w:rsid w:val="00DE4FD2"/>
    <w:rsid w:val="00DE7016"/>
    <w:rsid w:val="00DF1B2D"/>
    <w:rsid w:val="00DF2A9A"/>
    <w:rsid w:val="00DF378F"/>
    <w:rsid w:val="00DF4361"/>
    <w:rsid w:val="00DF4528"/>
    <w:rsid w:val="00DF4A46"/>
    <w:rsid w:val="00DF63CA"/>
    <w:rsid w:val="00DF68AB"/>
    <w:rsid w:val="00E01C36"/>
    <w:rsid w:val="00E03D12"/>
    <w:rsid w:val="00E05691"/>
    <w:rsid w:val="00E05A98"/>
    <w:rsid w:val="00E05BB2"/>
    <w:rsid w:val="00E067A7"/>
    <w:rsid w:val="00E111A4"/>
    <w:rsid w:val="00E1317D"/>
    <w:rsid w:val="00E135C7"/>
    <w:rsid w:val="00E139E8"/>
    <w:rsid w:val="00E1533A"/>
    <w:rsid w:val="00E16B35"/>
    <w:rsid w:val="00E2040C"/>
    <w:rsid w:val="00E2059D"/>
    <w:rsid w:val="00E21AA1"/>
    <w:rsid w:val="00E301EA"/>
    <w:rsid w:val="00E3045D"/>
    <w:rsid w:val="00E33952"/>
    <w:rsid w:val="00E402F2"/>
    <w:rsid w:val="00E40FF9"/>
    <w:rsid w:val="00E434D6"/>
    <w:rsid w:val="00E54AAB"/>
    <w:rsid w:val="00E57E54"/>
    <w:rsid w:val="00E60E63"/>
    <w:rsid w:val="00E61A17"/>
    <w:rsid w:val="00E63FDC"/>
    <w:rsid w:val="00E67499"/>
    <w:rsid w:val="00E73853"/>
    <w:rsid w:val="00E760ED"/>
    <w:rsid w:val="00E7738D"/>
    <w:rsid w:val="00E80623"/>
    <w:rsid w:val="00E83FDD"/>
    <w:rsid w:val="00E8492C"/>
    <w:rsid w:val="00E854E6"/>
    <w:rsid w:val="00E861B3"/>
    <w:rsid w:val="00E87E38"/>
    <w:rsid w:val="00E91134"/>
    <w:rsid w:val="00E92CD9"/>
    <w:rsid w:val="00E92F76"/>
    <w:rsid w:val="00E964FE"/>
    <w:rsid w:val="00EA183E"/>
    <w:rsid w:val="00EA4496"/>
    <w:rsid w:val="00EA4AE8"/>
    <w:rsid w:val="00EA5E71"/>
    <w:rsid w:val="00EA6BFC"/>
    <w:rsid w:val="00EB2BB3"/>
    <w:rsid w:val="00EB59C5"/>
    <w:rsid w:val="00EB5BF6"/>
    <w:rsid w:val="00EC0ACB"/>
    <w:rsid w:val="00EC3577"/>
    <w:rsid w:val="00EC3886"/>
    <w:rsid w:val="00EC4714"/>
    <w:rsid w:val="00ED020B"/>
    <w:rsid w:val="00ED4089"/>
    <w:rsid w:val="00ED40CA"/>
    <w:rsid w:val="00ED62AC"/>
    <w:rsid w:val="00ED751D"/>
    <w:rsid w:val="00ED7AB3"/>
    <w:rsid w:val="00EE2D2E"/>
    <w:rsid w:val="00EE49E1"/>
    <w:rsid w:val="00EF04C5"/>
    <w:rsid w:val="00EF0B70"/>
    <w:rsid w:val="00EF3B72"/>
    <w:rsid w:val="00EF3B83"/>
    <w:rsid w:val="00F021DD"/>
    <w:rsid w:val="00F02B4D"/>
    <w:rsid w:val="00F053C7"/>
    <w:rsid w:val="00F06E74"/>
    <w:rsid w:val="00F078FC"/>
    <w:rsid w:val="00F107B2"/>
    <w:rsid w:val="00F125B8"/>
    <w:rsid w:val="00F1772E"/>
    <w:rsid w:val="00F21FA3"/>
    <w:rsid w:val="00F236C1"/>
    <w:rsid w:val="00F30273"/>
    <w:rsid w:val="00F31281"/>
    <w:rsid w:val="00F31FC7"/>
    <w:rsid w:val="00F35302"/>
    <w:rsid w:val="00F36ACD"/>
    <w:rsid w:val="00F43860"/>
    <w:rsid w:val="00F4403B"/>
    <w:rsid w:val="00F4477A"/>
    <w:rsid w:val="00F4578F"/>
    <w:rsid w:val="00F46353"/>
    <w:rsid w:val="00F47576"/>
    <w:rsid w:val="00F54358"/>
    <w:rsid w:val="00F55256"/>
    <w:rsid w:val="00F6247D"/>
    <w:rsid w:val="00F65BD6"/>
    <w:rsid w:val="00F65DD8"/>
    <w:rsid w:val="00F66E28"/>
    <w:rsid w:val="00F671BC"/>
    <w:rsid w:val="00F71401"/>
    <w:rsid w:val="00F72EB7"/>
    <w:rsid w:val="00F77A7F"/>
    <w:rsid w:val="00F836BA"/>
    <w:rsid w:val="00F85A89"/>
    <w:rsid w:val="00F866C9"/>
    <w:rsid w:val="00F870B9"/>
    <w:rsid w:val="00F907F3"/>
    <w:rsid w:val="00F90C35"/>
    <w:rsid w:val="00F921C6"/>
    <w:rsid w:val="00F9314C"/>
    <w:rsid w:val="00F93366"/>
    <w:rsid w:val="00F937A7"/>
    <w:rsid w:val="00F93DC5"/>
    <w:rsid w:val="00F93E97"/>
    <w:rsid w:val="00F952C2"/>
    <w:rsid w:val="00F9543C"/>
    <w:rsid w:val="00F960C5"/>
    <w:rsid w:val="00FA0FC7"/>
    <w:rsid w:val="00FA10A3"/>
    <w:rsid w:val="00FA2921"/>
    <w:rsid w:val="00FA4DD0"/>
    <w:rsid w:val="00FA5826"/>
    <w:rsid w:val="00FA6973"/>
    <w:rsid w:val="00FB01DF"/>
    <w:rsid w:val="00FB44BE"/>
    <w:rsid w:val="00FB772D"/>
    <w:rsid w:val="00FC18B7"/>
    <w:rsid w:val="00FC6D65"/>
    <w:rsid w:val="00FD0BCD"/>
    <w:rsid w:val="00FD1431"/>
    <w:rsid w:val="00FD2D02"/>
    <w:rsid w:val="00FD4845"/>
    <w:rsid w:val="00FD7DF4"/>
    <w:rsid w:val="00FE00FB"/>
    <w:rsid w:val="00FE1075"/>
    <w:rsid w:val="00FE395B"/>
    <w:rsid w:val="00FE3F13"/>
    <w:rsid w:val="00FF1430"/>
    <w:rsid w:val="00FF1DE5"/>
    <w:rsid w:val="00FF6249"/>
    <w:rsid w:val="1E57703B"/>
    <w:rsid w:val="45381E0B"/>
    <w:rsid w:val="490A17DA"/>
    <w:rsid w:val="6C207AD8"/>
    <w:rsid w:val="75DB1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40"/>
    <w:qFormat/>
    <w:uiPriority w:val="0"/>
    <w:pPr>
      <w:keepNext/>
      <w:keepLines/>
      <w:spacing w:before="120" w:after="120" w:line="0" w:lineRule="atLeast"/>
      <w:jc w:val="center"/>
      <w:outlineLvl w:val="0"/>
    </w:pPr>
    <w:rPr>
      <w:rFonts w:eastAsia="宋体"/>
      <w:b/>
      <w:bCs/>
      <w:kern w:val="44"/>
      <w:sz w:val="28"/>
      <w:szCs w:val="44"/>
    </w:rPr>
  </w:style>
  <w:style w:type="paragraph" w:styleId="3">
    <w:name w:val="heading 2"/>
    <w:basedOn w:val="1"/>
    <w:next w:val="1"/>
    <w:link w:val="46"/>
    <w:unhideWhenUsed/>
    <w:qFormat/>
    <w:uiPriority w:val="0"/>
    <w:pPr>
      <w:keepNext/>
      <w:keepLines/>
      <w:jc w:val="center"/>
      <w:outlineLvl w:val="1"/>
    </w:pPr>
    <w:rPr>
      <w:rFonts w:ascii="等线 Light" w:hAnsi="等线 Light" w:eastAsia="宋体"/>
      <w:b/>
      <w:bCs/>
      <w:sz w:val="28"/>
      <w:szCs w:val="32"/>
    </w:rPr>
  </w:style>
  <w:style w:type="paragraph" w:styleId="4">
    <w:name w:val="heading 3"/>
    <w:basedOn w:val="1"/>
    <w:next w:val="1"/>
    <w:link w:val="47"/>
    <w:unhideWhenUsed/>
    <w:qFormat/>
    <w:uiPriority w:val="9"/>
    <w:pPr>
      <w:keepNext/>
      <w:keepLines/>
      <w:spacing w:line="0" w:lineRule="atLeast"/>
      <w:ind w:left="150" w:leftChars="150"/>
      <w:jc w:val="center"/>
      <w:outlineLvl w:val="2"/>
    </w:pPr>
    <w:rPr>
      <w:rFonts w:ascii="宋体" w:hAnsi="宋体" w:eastAsia="宋体"/>
      <w:b/>
      <w:bCs/>
      <w:sz w:val="28"/>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style>
  <w:style w:type="paragraph" w:styleId="6">
    <w:name w:val="annotation text"/>
    <w:basedOn w:val="1"/>
    <w:link w:val="52"/>
    <w:unhideWhenUsed/>
    <w:qFormat/>
    <w:uiPriority w:val="99"/>
    <w:pPr>
      <w:jc w:val="left"/>
    </w:pPr>
  </w:style>
  <w:style w:type="paragraph" w:styleId="7">
    <w:name w:val="toc 5"/>
    <w:basedOn w:val="1"/>
    <w:next w:val="1"/>
    <w:unhideWhenUsed/>
    <w:qFormat/>
    <w:uiPriority w:val="39"/>
    <w:pPr>
      <w:ind w:left="1680" w:leftChars="800"/>
    </w:pPr>
  </w:style>
  <w:style w:type="paragraph" w:styleId="8">
    <w:name w:val="toc 3"/>
    <w:basedOn w:val="1"/>
    <w:next w:val="1"/>
    <w:unhideWhenUsed/>
    <w:qFormat/>
    <w:uiPriority w:val="39"/>
    <w:pPr>
      <w:ind w:left="840" w:leftChars="400"/>
    </w:pPr>
  </w:style>
  <w:style w:type="paragraph" w:styleId="9">
    <w:name w:val="toc 8"/>
    <w:basedOn w:val="1"/>
    <w:next w:val="1"/>
    <w:unhideWhenUsed/>
    <w:qFormat/>
    <w:uiPriority w:val="39"/>
    <w:pPr>
      <w:ind w:left="2940" w:leftChars="1400"/>
    </w:pPr>
  </w:style>
  <w:style w:type="paragraph" w:styleId="10">
    <w:name w:val="Date"/>
    <w:basedOn w:val="1"/>
    <w:next w:val="1"/>
    <w:link w:val="44"/>
    <w:unhideWhenUsed/>
    <w:qFormat/>
    <w:uiPriority w:val="99"/>
    <w:pPr>
      <w:ind w:left="100" w:leftChars="2500"/>
    </w:pPr>
  </w:style>
  <w:style w:type="paragraph" w:styleId="11">
    <w:name w:val="Body Text Indent 2"/>
    <w:basedOn w:val="1"/>
    <w:link w:val="54"/>
    <w:unhideWhenUsed/>
    <w:qFormat/>
    <w:uiPriority w:val="0"/>
    <w:pPr>
      <w:spacing w:after="120" w:line="480" w:lineRule="auto"/>
      <w:ind w:left="420" w:leftChars="200"/>
    </w:pPr>
  </w:style>
  <w:style w:type="paragraph" w:styleId="12">
    <w:name w:val="Balloon Text"/>
    <w:basedOn w:val="1"/>
    <w:link w:val="4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jc w:val="left"/>
    </w:pPr>
    <w:rPr>
      <w:sz w:val="18"/>
      <w:szCs w:val="18"/>
    </w:rPr>
  </w:style>
  <w:style w:type="paragraph" w:styleId="14">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oc 4"/>
    <w:basedOn w:val="1"/>
    <w:next w:val="1"/>
    <w:unhideWhenUsed/>
    <w:qFormat/>
    <w:uiPriority w:val="39"/>
    <w:pPr>
      <w:ind w:left="1260" w:leftChars="600"/>
    </w:pPr>
  </w:style>
  <w:style w:type="paragraph" w:styleId="17">
    <w:name w:val="toc 6"/>
    <w:basedOn w:val="1"/>
    <w:next w:val="1"/>
    <w:unhideWhenUsed/>
    <w:qFormat/>
    <w:uiPriority w:val="39"/>
    <w:pPr>
      <w:ind w:left="2100" w:leftChars="1000"/>
    </w:pPr>
  </w:style>
  <w:style w:type="paragraph" w:styleId="18">
    <w:name w:val="Body Text Indent 3"/>
    <w:basedOn w:val="1"/>
    <w:link w:val="49"/>
    <w:qFormat/>
    <w:uiPriority w:val="0"/>
    <w:pPr>
      <w:widowControl/>
      <w:tabs>
        <w:tab w:val="left" w:pos="567"/>
        <w:tab w:val="left" w:leader="dot" w:pos="8222"/>
      </w:tabs>
      <w:ind w:left="567"/>
      <w:jc w:val="left"/>
    </w:pPr>
    <w:rPr>
      <w:rFonts w:ascii="Arial" w:hAnsi="Arial" w:eastAsia="宋体" w:cs="Arial"/>
      <w:kern w:val="0"/>
      <w:sz w:val="20"/>
      <w:szCs w:val="24"/>
    </w:rPr>
  </w:style>
  <w:style w:type="paragraph" w:styleId="19">
    <w:name w:val="toc 2"/>
    <w:basedOn w:val="1"/>
    <w:next w:val="1"/>
    <w:unhideWhenUsed/>
    <w:qFormat/>
    <w:uiPriority w:val="39"/>
    <w:pPr>
      <w:ind w:left="420" w:leftChars="200"/>
    </w:pPr>
  </w:style>
  <w:style w:type="paragraph" w:styleId="20">
    <w:name w:val="toc 9"/>
    <w:basedOn w:val="1"/>
    <w:next w:val="1"/>
    <w:unhideWhenUsed/>
    <w:qFormat/>
    <w:uiPriority w:val="39"/>
    <w:pPr>
      <w:ind w:left="3360" w:leftChars="1600"/>
    </w:pPr>
  </w:style>
  <w:style w:type="paragraph" w:styleId="2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2">
    <w:name w:val="annotation subject"/>
    <w:basedOn w:val="6"/>
    <w:next w:val="6"/>
    <w:link w:val="53"/>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Hyperlink"/>
    <w:basedOn w:val="25"/>
    <w:unhideWhenUsed/>
    <w:qFormat/>
    <w:uiPriority w:val="99"/>
    <w:rPr>
      <w:color w:val="0563C1"/>
      <w:u w:val="single"/>
    </w:rPr>
  </w:style>
  <w:style w:type="character" w:styleId="27">
    <w:name w:val="annotation reference"/>
    <w:basedOn w:val="25"/>
    <w:unhideWhenUsed/>
    <w:qFormat/>
    <w:uiPriority w:val="99"/>
    <w:rPr>
      <w:sz w:val="21"/>
      <w:szCs w:val="21"/>
    </w:rPr>
  </w:style>
  <w:style w:type="paragraph" w:customStyle="1" w:styleId="28">
    <w:name w:val="章标题"/>
    <w:next w:val="1"/>
    <w:qFormat/>
    <w:uiPriority w:val="0"/>
    <w:pPr>
      <w:spacing w:beforeLines="50" w:afterLines="50"/>
      <w:ind w:left="4320"/>
      <w:jc w:val="both"/>
      <w:outlineLvl w:val="1"/>
    </w:pPr>
    <w:rPr>
      <w:rFonts w:ascii="黑体" w:hAnsi="Times New Roman" w:eastAsia="黑体" w:cs="Times New Roman"/>
      <w:sz w:val="21"/>
      <w:lang w:val="en-US" w:eastAsia="zh-CN" w:bidi="ar-SA"/>
    </w:rPr>
  </w:style>
  <w:style w:type="paragraph" w:customStyle="1" w:styleId="29">
    <w:name w:val="列出段落1"/>
    <w:basedOn w:val="1"/>
    <w:qFormat/>
    <w:uiPriority w:val="34"/>
    <w:pPr>
      <w:ind w:firstLine="420" w:firstLineChars="200"/>
    </w:pPr>
  </w:style>
  <w:style w:type="paragraph" w:customStyle="1" w:styleId="30">
    <w:name w:val="标准书眉一"/>
    <w:basedOn w:val="1"/>
    <w:qFormat/>
    <w:uiPriority w:val="0"/>
    <w:pPr>
      <w:numPr>
        <w:ilvl w:val="0"/>
        <w:numId w:val="1"/>
      </w:numPr>
    </w:pPr>
    <w:rPr>
      <w:rFonts w:ascii="Times New Roman" w:hAnsi="Times New Roman" w:eastAsia="宋体" w:cs="Times New Roman"/>
      <w:szCs w:val="24"/>
    </w:rPr>
  </w:style>
  <w:style w:type="paragraph" w:customStyle="1" w:styleId="31">
    <w:name w:val="一级条标题"/>
    <w:basedOn w:val="1"/>
    <w:qFormat/>
    <w:uiPriority w:val="0"/>
    <w:pPr>
      <w:numPr>
        <w:ilvl w:val="2"/>
        <w:numId w:val="1"/>
      </w:numPr>
    </w:pPr>
    <w:rPr>
      <w:rFonts w:ascii="Times New Roman" w:hAnsi="Times New Roman" w:eastAsia="宋体" w:cs="Times New Roman"/>
      <w:szCs w:val="24"/>
    </w:rPr>
  </w:style>
  <w:style w:type="paragraph" w:customStyle="1" w:styleId="32">
    <w:name w:val="二级条标题"/>
    <w:basedOn w:val="1"/>
    <w:qFormat/>
    <w:uiPriority w:val="0"/>
    <w:pPr>
      <w:numPr>
        <w:ilvl w:val="3"/>
        <w:numId w:val="1"/>
      </w:numPr>
    </w:pPr>
    <w:rPr>
      <w:rFonts w:ascii="Times New Roman" w:hAnsi="Times New Roman" w:eastAsia="宋体" w:cs="Times New Roman"/>
      <w:szCs w:val="24"/>
    </w:rPr>
  </w:style>
  <w:style w:type="paragraph" w:customStyle="1" w:styleId="33">
    <w:name w:val="条文脚注"/>
    <w:basedOn w:val="1"/>
    <w:qFormat/>
    <w:uiPriority w:val="0"/>
    <w:pPr>
      <w:numPr>
        <w:ilvl w:val="5"/>
        <w:numId w:val="1"/>
      </w:numPr>
      <w:tabs>
        <w:tab w:val="left" w:pos="720"/>
      </w:tabs>
    </w:pPr>
    <w:rPr>
      <w:rFonts w:ascii="Times New Roman" w:hAnsi="Times New Roman" w:eastAsia="宋体" w:cs="Times New Roman"/>
      <w:szCs w:val="24"/>
    </w:rPr>
  </w:style>
  <w:style w:type="paragraph" w:customStyle="1" w:styleId="34">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D73B3"/>
      <w:kern w:val="0"/>
      <w:sz w:val="32"/>
      <w:szCs w:val="32"/>
    </w:rPr>
  </w:style>
  <w:style w:type="paragraph" w:customStyle="1" w:styleId="35">
    <w:name w:val="Default"/>
    <w:qFormat/>
    <w:uiPriority w:val="0"/>
    <w:pPr>
      <w:widowControl w:val="0"/>
      <w:autoSpaceDE w:val="0"/>
      <w:autoSpaceDN w:val="0"/>
      <w:adjustRightInd w:val="0"/>
    </w:pPr>
    <w:rPr>
      <w:rFonts w:ascii="Times New Roman" w:hAnsi="Times New Roman" w:eastAsia="等线" w:cs="Times New Roman"/>
      <w:color w:val="000000"/>
      <w:sz w:val="24"/>
      <w:szCs w:val="24"/>
      <w:lang w:val="en-US" w:eastAsia="zh-CN" w:bidi="ar-SA"/>
    </w:rPr>
  </w:style>
  <w:style w:type="paragraph" w:customStyle="1" w:styleId="36">
    <w:name w:val="inf"/>
    <w:basedOn w:val="1"/>
    <w:qFormat/>
    <w:uiPriority w:val="0"/>
    <w:pPr>
      <w:widowControl/>
      <w:tabs>
        <w:tab w:val="left" w:pos="567"/>
        <w:tab w:val="left" w:leader="dot" w:pos="8222"/>
      </w:tabs>
      <w:jc w:val="center"/>
    </w:pPr>
    <w:rPr>
      <w:rFonts w:ascii="Arial" w:hAnsi="Arial" w:eastAsia="宋体" w:cs="Times New Roman"/>
      <w:b/>
      <w:kern w:val="0"/>
      <w:sz w:val="28"/>
      <w:szCs w:val="20"/>
    </w:rPr>
  </w:style>
  <w:style w:type="paragraph" w:customStyle="1" w:styleId="37">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38">
    <w:name w:val="TOC 标题11"/>
    <w:basedOn w:val="2"/>
    <w:next w:val="1"/>
    <w:unhideWhenUsed/>
    <w:qFormat/>
    <w:uiPriority w:val="39"/>
    <w:pPr>
      <w:widowControl/>
      <w:spacing w:beforeLines="50" w:afterLines="50" w:line="259" w:lineRule="auto"/>
      <w:jc w:val="left"/>
      <w:outlineLvl w:val="9"/>
    </w:pPr>
    <w:rPr>
      <w:rFonts w:ascii="等线 Light" w:hAnsi="等线 Light" w:eastAsia="等线 Light"/>
      <w:b w:val="0"/>
      <w:bCs w:val="0"/>
      <w:color w:val="2D73B3"/>
      <w:kern w:val="0"/>
      <w:sz w:val="32"/>
      <w:szCs w:val="32"/>
    </w:rPr>
  </w:style>
  <w:style w:type="character" w:customStyle="1" w:styleId="39">
    <w:name w:val="明显强调1"/>
    <w:basedOn w:val="25"/>
    <w:qFormat/>
    <w:uiPriority w:val="21"/>
    <w:rPr>
      <w:rFonts w:eastAsia="仿宋"/>
      <w:iCs/>
      <w:color w:val="5B9BD5"/>
      <w:sz w:val="28"/>
    </w:rPr>
  </w:style>
  <w:style w:type="character" w:customStyle="1" w:styleId="40">
    <w:name w:val="标题 1 Char"/>
    <w:basedOn w:val="25"/>
    <w:link w:val="2"/>
    <w:qFormat/>
    <w:uiPriority w:val="0"/>
    <w:rPr>
      <w:rFonts w:eastAsia="宋体"/>
      <w:b/>
      <w:bCs/>
      <w:kern w:val="44"/>
      <w:sz w:val="28"/>
      <w:szCs w:val="44"/>
    </w:rPr>
  </w:style>
  <w:style w:type="character" w:customStyle="1" w:styleId="41">
    <w:name w:val="批注框文本 Char"/>
    <w:basedOn w:val="25"/>
    <w:link w:val="12"/>
    <w:semiHidden/>
    <w:qFormat/>
    <w:uiPriority w:val="99"/>
    <w:rPr>
      <w:sz w:val="18"/>
      <w:szCs w:val="18"/>
    </w:rPr>
  </w:style>
  <w:style w:type="character" w:customStyle="1" w:styleId="42">
    <w:name w:val="页眉 Char"/>
    <w:basedOn w:val="25"/>
    <w:link w:val="14"/>
    <w:qFormat/>
    <w:uiPriority w:val="99"/>
    <w:rPr>
      <w:sz w:val="18"/>
      <w:szCs w:val="18"/>
    </w:rPr>
  </w:style>
  <w:style w:type="character" w:customStyle="1" w:styleId="43">
    <w:name w:val="页脚 Char"/>
    <w:basedOn w:val="25"/>
    <w:link w:val="13"/>
    <w:qFormat/>
    <w:uiPriority w:val="99"/>
    <w:rPr>
      <w:sz w:val="18"/>
      <w:szCs w:val="18"/>
    </w:rPr>
  </w:style>
  <w:style w:type="character" w:customStyle="1" w:styleId="44">
    <w:name w:val="日期 Char"/>
    <w:basedOn w:val="25"/>
    <w:link w:val="10"/>
    <w:semiHidden/>
    <w:qFormat/>
    <w:uiPriority w:val="99"/>
  </w:style>
  <w:style w:type="character" w:customStyle="1" w:styleId="45">
    <w:name w:val="占位符文本1"/>
    <w:basedOn w:val="25"/>
    <w:semiHidden/>
    <w:qFormat/>
    <w:uiPriority w:val="99"/>
    <w:rPr>
      <w:color w:val="808080"/>
    </w:rPr>
  </w:style>
  <w:style w:type="character" w:customStyle="1" w:styleId="46">
    <w:name w:val="标题 2 Char"/>
    <w:basedOn w:val="25"/>
    <w:link w:val="3"/>
    <w:qFormat/>
    <w:uiPriority w:val="0"/>
    <w:rPr>
      <w:rFonts w:ascii="等线 Light" w:hAnsi="等线 Light" w:eastAsia="宋体" w:cs="黑体"/>
      <w:b/>
      <w:bCs/>
      <w:sz w:val="28"/>
      <w:szCs w:val="32"/>
    </w:rPr>
  </w:style>
  <w:style w:type="character" w:customStyle="1" w:styleId="47">
    <w:name w:val="标题 3 Char"/>
    <w:basedOn w:val="25"/>
    <w:link w:val="4"/>
    <w:qFormat/>
    <w:uiPriority w:val="9"/>
    <w:rPr>
      <w:rFonts w:ascii="宋体" w:hAnsi="宋体" w:eastAsia="宋体"/>
      <w:b/>
      <w:bCs/>
      <w:sz w:val="28"/>
      <w:szCs w:val="32"/>
    </w:rPr>
  </w:style>
  <w:style w:type="character" w:customStyle="1" w:styleId="48">
    <w:name w:val="标题 1 字符1"/>
    <w:qFormat/>
    <w:uiPriority w:val="0"/>
    <w:rPr>
      <w:rFonts w:ascii="Times New Roman" w:hAnsi="Times New Roman" w:eastAsia="宋体" w:cs="Times New Roman"/>
      <w:b/>
      <w:sz w:val="24"/>
      <w:szCs w:val="20"/>
    </w:rPr>
  </w:style>
  <w:style w:type="character" w:customStyle="1" w:styleId="49">
    <w:name w:val="正文文本缩进 3 Char"/>
    <w:basedOn w:val="25"/>
    <w:link w:val="18"/>
    <w:qFormat/>
    <w:uiPriority w:val="0"/>
    <w:rPr>
      <w:rFonts w:ascii="Arial" w:hAnsi="Arial" w:eastAsia="宋体" w:cs="Arial"/>
      <w:kern w:val="0"/>
      <w:sz w:val="20"/>
      <w:szCs w:val="24"/>
    </w:rPr>
  </w:style>
  <w:style w:type="character" w:customStyle="1" w:styleId="50">
    <w:name w:val="明显参考1"/>
    <w:basedOn w:val="25"/>
    <w:qFormat/>
    <w:uiPriority w:val="32"/>
    <w:rPr>
      <w:rFonts w:eastAsia="宋体"/>
      <w:b/>
      <w:bCs/>
      <w:i/>
      <w:smallCaps/>
      <w:color w:val="5B9BD5"/>
      <w:spacing w:val="5"/>
      <w:sz w:val="21"/>
    </w:rPr>
  </w:style>
  <w:style w:type="character" w:customStyle="1" w:styleId="51">
    <w:name w:val="不明显参考1"/>
    <w:basedOn w:val="25"/>
    <w:qFormat/>
    <w:uiPriority w:val="31"/>
    <w:rPr>
      <w:smallCaps/>
      <w:color w:val="565656"/>
    </w:rPr>
  </w:style>
  <w:style w:type="character" w:customStyle="1" w:styleId="52">
    <w:name w:val="批注文字 Char"/>
    <w:basedOn w:val="25"/>
    <w:link w:val="6"/>
    <w:semiHidden/>
    <w:qFormat/>
    <w:uiPriority w:val="99"/>
  </w:style>
  <w:style w:type="character" w:customStyle="1" w:styleId="53">
    <w:name w:val="批注主题 Char"/>
    <w:basedOn w:val="52"/>
    <w:link w:val="22"/>
    <w:semiHidden/>
    <w:qFormat/>
    <w:uiPriority w:val="99"/>
    <w:rPr>
      <w:b/>
      <w:bCs/>
    </w:rPr>
  </w:style>
  <w:style w:type="character" w:customStyle="1" w:styleId="54">
    <w:name w:val="正文文本缩进 2 Char"/>
    <w:basedOn w:val="25"/>
    <w:link w:val="11"/>
    <w:qFormat/>
    <w:uiPriority w:val="0"/>
  </w:style>
  <w:style w:type="character" w:customStyle="1" w:styleId="55">
    <w:name w:val="不明显强调1"/>
    <w:basedOn w:val="25"/>
    <w:qFormat/>
    <w:uiPriority w:val="19"/>
    <w:rPr>
      <w:i/>
      <w:iCs/>
      <w:color w:val="5B9BD5"/>
    </w:rPr>
  </w:style>
  <w:style w:type="character" w:customStyle="1" w:styleId="56">
    <w:name w:val="明显参考11"/>
    <w:basedOn w:val="25"/>
    <w:qFormat/>
    <w:uiPriority w:val="32"/>
    <w:rPr>
      <w:rFonts w:eastAsia="宋体"/>
      <w:b/>
      <w:bCs/>
      <w:i/>
      <w:smallCaps/>
      <w:color w:val="5B9BD5"/>
      <w:spacing w:val="5"/>
      <w:sz w:val="21"/>
    </w:rPr>
  </w:style>
  <w:style w:type="character" w:customStyle="1" w:styleId="57">
    <w:name w:val="不明显参考11"/>
    <w:basedOn w:val="25"/>
    <w:qFormat/>
    <w:uiPriority w:val="31"/>
    <w:rPr>
      <w:smallCaps/>
      <w:color w:val="565656"/>
    </w:rPr>
  </w:style>
  <w:style w:type="table" w:customStyle="1" w:styleId="58">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9">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2885</Words>
  <Characters>16448</Characters>
  <Lines>137</Lines>
  <Paragraphs>38</Paragraphs>
  <TotalTime>1</TotalTime>
  <ScaleCrop>false</ScaleCrop>
  <LinksUpToDate>false</LinksUpToDate>
  <CharactersWithSpaces>19295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2020-12-14T06:08:00Z</dcterms:created>
  <dc:creator>~~</dc:creator>
  <cp:keywords>上海瀚联</cp:keywords>
  <cp:lastModifiedBy>未知</cp:lastModifiedBy>
  <cp:lastPrinted>2020-07-30T02:22:00Z</cp:lastPrinted>
  <dcterms:modified xsi:type="dcterms:W3CDTF">2025-03-28T07:39:47Z</dcterms:modified>
  <dc:title>海南省房屋建筑工程质量潜在缺陷保险</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