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ind w:firstLine="400"/>
        <w:rPr>
          <w:rFonts w:eastAsia="Times New Roman"/>
          <w:color w:val="auto"/>
          <w:sz w:val="20"/>
          <w:szCs w:val="20"/>
        </w:rPr>
      </w:pPr>
    </w:p>
    <w:p>
      <w:pPr>
        <w:spacing w:line="240" w:lineRule="auto"/>
        <w:ind w:firstLine="400"/>
        <w:rPr>
          <w:rFonts w:eastAsia="Times New Roman"/>
          <w:color w:val="auto"/>
          <w:sz w:val="20"/>
          <w:szCs w:val="20"/>
        </w:rPr>
      </w:pPr>
    </w:p>
    <w:p>
      <w:pPr>
        <w:spacing w:line="240" w:lineRule="auto"/>
        <w:ind w:firstLine="400"/>
        <w:rPr>
          <w:rFonts w:eastAsia="Times New Roman"/>
          <w:color w:val="auto"/>
          <w:sz w:val="20"/>
          <w:szCs w:val="20"/>
        </w:rPr>
      </w:pPr>
    </w:p>
    <w:p>
      <w:pPr>
        <w:spacing w:line="240" w:lineRule="auto"/>
        <w:ind w:firstLine="400"/>
        <w:rPr>
          <w:rFonts w:eastAsia="Times New Roman"/>
          <w:color w:val="auto"/>
          <w:sz w:val="20"/>
          <w:szCs w:val="20"/>
        </w:rPr>
      </w:pPr>
    </w:p>
    <w:p>
      <w:pPr>
        <w:spacing w:line="240" w:lineRule="auto"/>
        <w:ind w:firstLine="400"/>
        <w:rPr>
          <w:rFonts w:eastAsia="Times New Roman"/>
          <w:color w:val="auto"/>
          <w:sz w:val="20"/>
          <w:szCs w:val="20"/>
        </w:rPr>
      </w:pPr>
    </w:p>
    <w:p>
      <w:pPr>
        <w:spacing w:line="240" w:lineRule="auto"/>
        <w:ind w:firstLine="400"/>
        <w:rPr>
          <w:rFonts w:eastAsia="Times New Roman"/>
          <w:color w:val="auto"/>
          <w:sz w:val="20"/>
          <w:szCs w:val="20"/>
        </w:rPr>
      </w:pPr>
    </w:p>
    <w:p>
      <w:pPr>
        <w:spacing w:line="240" w:lineRule="auto"/>
        <w:ind w:firstLine="400"/>
        <w:rPr>
          <w:rFonts w:eastAsia="Times New Roman"/>
          <w:color w:val="auto"/>
          <w:sz w:val="20"/>
          <w:szCs w:val="20"/>
        </w:rPr>
      </w:pPr>
    </w:p>
    <w:p>
      <w:pPr>
        <w:spacing w:line="240" w:lineRule="auto"/>
        <w:ind w:firstLine="400"/>
        <w:rPr>
          <w:rFonts w:eastAsia="Times New Roman"/>
          <w:color w:val="auto"/>
          <w:sz w:val="20"/>
          <w:szCs w:val="20"/>
        </w:rPr>
      </w:pPr>
    </w:p>
    <w:p>
      <w:pPr>
        <w:spacing w:line="240" w:lineRule="auto"/>
        <w:ind w:firstLine="400"/>
        <w:rPr>
          <w:rFonts w:eastAsia="Times New Roman"/>
          <w:color w:val="auto"/>
          <w:sz w:val="20"/>
          <w:szCs w:val="20"/>
        </w:rPr>
      </w:pPr>
    </w:p>
    <w:p>
      <w:pPr>
        <w:spacing w:line="240" w:lineRule="auto"/>
        <w:ind w:firstLine="400"/>
        <w:rPr>
          <w:rFonts w:eastAsia="Times New Roman"/>
          <w:color w:val="auto"/>
          <w:sz w:val="20"/>
          <w:szCs w:val="20"/>
        </w:rPr>
      </w:pPr>
    </w:p>
    <w:p>
      <w:pPr>
        <w:spacing w:line="240" w:lineRule="auto"/>
        <w:ind w:firstLine="400"/>
        <w:rPr>
          <w:rFonts w:eastAsia="Times New Roman"/>
          <w:color w:val="auto"/>
          <w:sz w:val="20"/>
          <w:szCs w:val="20"/>
        </w:rPr>
      </w:pPr>
    </w:p>
    <w:p>
      <w:pPr>
        <w:spacing w:line="240" w:lineRule="auto"/>
        <w:ind w:firstLine="400"/>
        <w:rPr>
          <w:rFonts w:eastAsia="Times New Roman"/>
          <w:color w:val="auto"/>
          <w:sz w:val="20"/>
          <w:szCs w:val="20"/>
        </w:rPr>
      </w:pPr>
    </w:p>
    <w:p>
      <w:pPr>
        <w:spacing w:line="240" w:lineRule="auto"/>
        <w:ind w:firstLine="400"/>
        <w:rPr>
          <w:rFonts w:eastAsia="Times New Roman"/>
          <w:color w:val="auto"/>
          <w:sz w:val="20"/>
          <w:szCs w:val="20"/>
        </w:rPr>
      </w:pPr>
    </w:p>
    <w:p>
      <w:pPr>
        <w:spacing w:line="240" w:lineRule="auto"/>
        <w:ind w:firstLine="400"/>
        <w:rPr>
          <w:rFonts w:eastAsia="Times New Roman"/>
          <w:color w:val="auto"/>
          <w:sz w:val="20"/>
          <w:szCs w:val="20"/>
        </w:rPr>
      </w:pPr>
    </w:p>
    <w:p>
      <w:pPr>
        <w:spacing w:line="240" w:lineRule="auto"/>
        <w:ind w:firstLine="400"/>
        <w:rPr>
          <w:rFonts w:eastAsia="Times New Roman"/>
          <w:color w:val="auto"/>
          <w:sz w:val="20"/>
          <w:szCs w:val="20"/>
        </w:rPr>
      </w:pPr>
    </w:p>
    <w:p>
      <w:pPr>
        <w:spacing w:before="1" w:line="240" w:lineRule="auto"/>
        <w:ind w:firstLine="320"/>
        <w:rPr>
          <w:rFonts w:eastAsia="Times New Roman"/>
          <w:color w:val="auto"/>
          <w:sz w:val="16"/>
          <w:szCs w:val="16"/>
        </w:rPr>
      </w:pPr>
    </w:p>
    <w:p>
      <w:pPr>
        <w:pStyle w:val="11"/>
        <w:rPr>
          <w:rFonts w:ascii="仿宋_GB2312" w:hAnsi="仿宋_GB2312" w:cs="仿宋_GB2312"/>
          <w:b/>
          <w:bCs/>
          <w:color w:val="auto"/>
          <w:sz w:val="44"/>
          <w:szCs w:val="44"/>
        </w:rPr>
      </w:pPr>
      <w:r>
        <w:rPr>
          <w:rFonts w:hint="eastAsia" w:ascii="仿宋_GB2312" w:hAnsi="仿宋_GB2312" w:cs="仿宋_GB2312"/>
          <w:b/>
          <w:bCs/>
          <w:color w:val="auto"/>
          <w:sz w:val="44"/>
          <w:szCs w:val="44"/>
        </w:rPr>
        <w:t>三亚市民用建筑区域节能评估报告</w:t>
      </w:r>
    </w:p>
    <w:p>
      <w:pPr>
        <w:spacing w:line="240" w:lineRule="auto"/>
        <w:ind w:firstLine="883"/>
        <w:rPr>
          <w:rFonts w:ascii="宋体" w:hAnsi="宋体" w:cs="宋体"/>
          <w:b/>
          <w:bCs/>
          <w:color w:val="auto"/>
          <w:sz w:val="44"/>
          <w:szCs w:val="44"/>
        </w:rPr>
      </w:pPr>
    </w:p>
    <w:p>
      <w:pPr>
        <w:spacing w:line="240" w:lineRule="auto"/>
        <w:ind w:firstLine="883"/>
        <w:rPr>
          <w:rFonts w:ascii="宋体" w:hAnsi="宋体" w:cs="宋体"/>
          <w:b/>
          <w:bCs/>
          <w:color w:val="auto"/>
          <w:sz w:val="44"/>
          <w:szCs w:val="44"/>
        </w:rPr>
      </w:pPr>
    </w:p>
    <w:p>
      <w:pPr>
        <w:spacing w:line="240" w:lineRule="auto"/>
        <w:ind w:firstLine="883"/>
        <w:rPr>
          <w:rFonts w:ascii="宋体" w:hAnsi="宋体" w:cs="宋体"/>
          <w:b/>
          <w:bCs/>
          <w:color w:val="auto"/>
          <w:sz w:val="44"/>
          <w:szCs w:val="44"/>
        </w:rPr>
      </w:pPr>
    </w:p>
    <w:p>
      <w:pPr>
        <w:spacing w:line="240" w:lineRule="auto"/>
        <w:ind w:firstLine="883"/>
        <w:rPr>
          <w:rFonts w:ascii="宋体" w:hAnsi="宋体" w:cs="宋体"/>
          <w:b/>
          <w:bCs/>
          <w:color w:val="auto"/>
          <w:sz w:val="44"/>
          <w:szCs w:val="44"/>
        </w:rPr>
      </w:pPr>
    </w:p>
    <w:p>
      <w:pPr>
        <w:spacing w:line="240" w:lineRule="auto"/>
        <w:ind w:firstLine="883"/>
        <w:rPr>
          <w:rFonts w:ascii="宋体" w:hAnsi="宋体" w:cs="宋体"/>
          <w:b/>
          <w:bCs/>
          <w:color w:val="auto"/>
          <w:sz w:val="44"/>
          <w:szCs w:val="44"/>
        </w:rPr>
      </w:pPr>
    </w:p>
    <w:p>
      <w:pPr>
        <w:spacing w:line="240" w:lineRule="auto"/>
        <w:ind w:firstLine="883"/>
        <w:rPr>
          <w:rFonts w:ascii="宋体" w:hAnsi="宋体" w:cs="宋体"/>
          <w:b/>
          <w:bCs/>
          <w:color w:val="auto"/>
          <w:sz w:val="44"/>
          <w:szCs w:val="44"/>
        </w:rPr>
      </w:pPr>
    </w:p>
    <w:p>
      <w:pPr>
        <w:spacing w:line="240" w:lineRule="auto"/>
        <w:ind w:firstLine="883"/>
        <w:rPr>
          <w:rFonts w:ascii="宋体" w:hAnsi="宋体" w:cs="宋体"/>
          <w:b/>
          <w:bCs/>
          <w:color w:val="auto"/>
          <w:sz w:val="44"/>
          <w:szCs w:val="44"/>
        </w:rPr>
      </w:pPr>
    </w:p>
    <w:p>
      <w:pPr>
        <w:spacing w:line="240" w:lineRule="auto"/>
        <w:ind w:firstLine="883"/>
        <w:rPr>
          <w:rFonts w:ascii="宋体" w:hAnsi="宋体" w:cs="宋体"/>
          <w:b/>
          <w:bCs/>
          <w:color w:val="auto"/>
          <w:sz w:val="44"/>
          <w:szCs w:val="44"/>
        </w:rPr>
      </w:pPr>
    </w:p>
    <w:p>
      <w:pPr>
        <w:spacing w:line="240" w:lineRule="auto"/>
        <w:ind w:firstLine="883"/>
        <w:rPr>
          <w:rFonts w:ascii="宋体" w:hAnsi="宋体" w:cs="宋体"/>
          <w:b/>
          <w:bCs/>
          <w:color w:val="auto"/>
          <w:sz w:val="44"/>
          <w:szCs w:val="44"/>
        </w:rPr>
      </w:pPr>
    </w:p>
    <w:p>
      <w:pPr>
        <w:spacing w:line="240" w:lineRule="auto"/>
        <w:ind w:firstLine="883"/>
        <w:rPr>
          <w:rFonts w:ascii="宋体" w:hAnsi="宋体" w:cs="宋体"/>
          <w:b/>
          <w:bCs/>
          <w:color w:val="auto"/>
          <w:sz w:val="44"/>
          <w:szCs w:val="44"/>
        </w:rPr>
      </w:pPr>
    </w:p>
    <w:p>
      <w:pPr>
        <w:spacing w:before="9" w:line="240" w:lineRule="auto"/>
        <w:ind w:firstLine="863"/>
        <w:rPr>
          <w:rFonts w:ascii="宋体" w:hAnsi="宋体" w:cs="宋体"/>
          <w:b/>
          <w:bCs/>
          <w:color w:val="auto"/>
          <w:sz w:val="43"/>
          <w:szCs w:val="43"/>
        </w:rPr>
      </w:pPr>
    </w:p>
    <w:p>
      <w:pPr>
        <w:pStyle w:val="11"/>
        <w:rPr>
          <w:color w:val="auto"/>
        </w:rPr>
      </w:pPr>
      <w:r>
        <w:rPr>
          <w:rFonts w:hint="eastAsia"/>
          <w:color w:val="auto"/>
        </w:rPr>
        <w:t>三亚市住房和城乡建设局</w:t>
      </w:r>
    </w:p>
    <w:p>
      <w:pPr>
        <w:pStyle w:val="11"/>
        <w:rPr>
          <w:color w:val="auto"/>
        </w:rPr>
      </w:pPr>
      <w:r>
        <w:rPr>
          <w:color w:val="auto"/>
        </w:rPr>
        <w:t>二零</w:t>
      </w:r>
      <w:r>
        <w:rPr>
          <w:rFonts w:hint="eastAsia"/>
          <w:color w:val="auto"/>
        </w:rPr>
        <w:t>二壹</w:t>
      </w:r>
      <w:r>
        <w:rPr>
          <w:color w:val="auto"/>
        </w:rPr>
        <w:t>年</w:t>
      </w:r>
      <w:r>
        <w:rPr>
          <w:rFonts w:hint="eastAsia"/>
          <w:color w:val="auto"/>
        </w:rPr>
        <w:t>壹</w:t>
      </w:r>
      <w:r>
        <w:rPr>
          <w:color w:val="auto"/>
        </w:rPr>
        <w:t>月</w:t>
      </w:r>
    </w:p>
    <w:p>
      <w:pPr>
        <w:spacing w:line="357" w:lineRule="auto"/>
        <w:jc w:val="center"/>
        <w:rPr>
          <w:color w:val="auto"/>
        </w:rPr>
        <w:sectPr>
          <w:headerReference r:id="rId6" w:type="first"/>
          <w:footerReference r:id="rId9" w:type="first"/>
          <w:headerReference r:id="rId4" w:type="default"/>
          <w:footerReference r:id="rId7" w:type="default"/>
          <w:headerReference r:id="rId5" w:type="even"/>
          <w:footerReference r:id="rId8" w:type="even"/>
          <w:pgSz w:w="11920" w:h="16860"/>
          <w:pgMar w:top="1600" w:right="1680" w:bottom="280" w:left="1680" w:header="720" w:footer="720" w:gutter="0"/>
          <w:cols w:space="720" w:num="1"/>
        </w:sectPr>
      </w:pPr>
    </w:p>
    <w:p>
      <w:pPr>
        <w:pStyle w:val="2"/>
        <w:spacing w:before="156" w:after="156"/>
        <w:ind w:firstLine="640"/>
        <w:rPr>
          <w:color w:val="auto"/>
        </w:rPr>
      </w:pPr>
      <w:bookmarkStart w:id="0" w:name="_Toc11888"/>
      <w:bookmarkStart w:id="1" w:name="_Toc13533"/>
      <w:bookmarkStart w:id="2" w:name="_Toc11360"/>
      <w:bookmarkStart w:id="3" w:name="_Toc5219"/>
      <w:bookmarkStart w:id="4" w:name="_Toc67236359"/>
      <w:bookmarkStart w:id="5" w:name="_Toc421"/>
      <w:bookmarkStart w:id="6" w:name="_Toc12200"/>
      <w:bookmarkStart w:id="7" w:name="_Toc15361"/>
      <w:bookmarkStart w:id="8" w:name="_Toc29427"/>
      <w:bookmarkStart w:id="9" w:name="_Toc9523"/>
      <w:bookmarkStart w:id="10" w:name="_Toc17769"/>
      <w:bookmarkStart w:id="11" w:name="_Toc30902"/>
      <w:bookmarkStart w:id="12" w:name="_Toc2397"/>
      <w:bookmarkStart w:id="13" w:name="_Toc12412"/>
      <w:bookmarkStart w:id="14" w:name="_Toc21348"/>
      <w:bookmarkStart w:id="15" w:name="_Toc53583369"/>
      <w:r>
        <w:rPr>
          <w:color w:val="auto"/>
        </w:rPr>
        <w:t>目</w:t>
      </w:r>
      <w:r>
        <w:rPr>
          <w:rFonts w:hint="eastAsia"/>
          <w:color w:val="auto"/>
        </w:rPr>
        <w:t xml:space="preserve">  </w:t>
      </w:r>
      <w:r>
        <w:rPr>
          <w:color w:val="auto"/>
        </w:rPr>
        <w:t>录</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pPr>
        <w:tabs>
          <w:tab w:val="center" w:pos="4213"/>
          <w:tab w:val="left" w:pos="5616"/>
        </w:tabs>
        <w:spacing w:line="240" w:lineRule="auto"/>
        <w:ind w:firstLine="0" w:firstLineChars="0"/>
        <w:rPr>
          <w:rFonts w:ascii="宋体" w:hAnsi="宋体"/>
          <w:color w:val="auto"/>
          <w:sz w:val="21"/>
        </w:rPr>
      </w:pPr>
      <w:r>
        <w:rPr>
          <w:rFonts w:hint="eastAsia" w:ascii="宋体" w:hAnsi="宋体"/>
          <w:color w:val="auto"/>
          <w:sz w:val="21"/>
        </w:rPr>
        <w:tab/>
      </w:r>
    </w:p>
    <w:sdt>
      <w:sdtPr>
        <w:rPr>
          <w:rFonts w:ascii="宋体" w:hAnsi="宋体"/>
          <w:color w:val="auto"/>
          <w:sz w:val="21"/>
        </w:rPr>
        <w:id w:val="147462378"/>
        <w15:color w:val="DBDBDB"/>
      </w:sdtPr>
      <w:sdtEndPr>
        <w:rPr>
          <w:rFonts w:ascii="宋体" w:hAnsi="宋体"/>
          <w:color w:val="auto"/>
          <w:sz w:val="21"/>
        </w:rPr>
      </w:sdtEndPr>
      <w:sdtContent>
        <w:p>
          <w:pPr>
            <w:tabs>
              <w:tab w:val="center" w:pos="4213"/>
              <w:tab w:val="left" w:pos="5616"/>
            </w:tabs>
            <w:spacing w:line="240" w:lineRule="auto"/>
            <w:ind w:firstLine="0" w:firstLineChars="0"/>
            <w:jc w:val="left"/>
            <w:rPr>
              <w:color w:val="auto"/>
            </w:rPr>
          </w:pPr>
        </w:p>
        <w:p>
          <w:pPr>
            <w:pStyle w:val="21"/>
            <w:tabs>
              <w:tab w:val="right" w:leader="dot" w:pos="8306"/>
            </w:tabs>
          </w:pPr>
          <w:r>
            <w:rPr>
              <w:color w:val="auto"/>
            </w:rPr>
            <w:fldChar w:fldCharType="begin"/>
          </w:r>
          <w:r>
            <w:rPr>
              <w:color w:val="auto"/>
            </w:rPr>
            <w:instrText xml:space="preserve">TOC \o "1-3" \h \u </w:instrText>
          </w:r>
          <w:r>
            <w:rPr>
              <w:color w:val="auto"/>
            </w:rPr>
            <w:fldChar w:fldCharType="separate"/>
          </w:r>
          <w:r>
            <w:rPr>
              <w:color w:val="auto"/>
            </w:rPr>
            <w:fldChar w:fldCharType="begin"/>
          </w:r>
          <w:r>
            <w:instrText xml:space="preserve"> HYPERLINK \l _Toc24131 </w:instrText>
          </w:r>
          <w:r>
            <w:fldChar w:fldCharType="separate"/>
          </w:r>
          <w:r>
            <w:rPr>
              <w:rFonts w:hint="eastAsia"/>
            </w:rPr>
            <w:t>前  言</w:t>
          </w:r>
          <w:r>
            <w:tab/>
          </w:r>
          <w:r>
            <w:fldChar w:fldCharType="begin"/>
          </w:r>
          <w:r>
            <w:instrText xml:space="preserve"> PAGEREF _Toc24131 \h </w:instrText>
          </w:r>
          <w:r>
            <w:fldChar w:fldCharType="separate"/>
          </w:r>
          <w:r>
            <w:t>1</w:t>
          </w:r>
          <w:r>
            <w:fldChar w:fldCharType="end"/>
          </w:r>
          <w:r>
            <w:rPr>
              <w:color w:val="auto"/>
            </w:rPr>
            <w:fldChar w:fldCharType="end"/>
          </w:r>
        </w:p>
        <w:p>
          <w:pPr>
            <w:pStyle w:val="21"/>
            <w:tabs>
              <w:tab w:val="right" w:leader="dot" w:pos="8306"/>
            </w:tabs>
          </w:pPr>
          <w:r>
            <w:rPr>
              <w:color w:val="auto"/>
            </w:rPr>
            <w:fldChar w:fldCharType="begin"/>
          </w:r>
          <w:r>
            <w:instrText xml:space="preserve"> HYPERLINK \l _Toc19297 </w:instrText>
          </w:r>
          <w:r>
            <w:fldChar w:fldCharType="separate"/>
          </w:r>
          <w:r>
            <w:rPr>
              <w:rFonts w:hint="default"/>
            </w:rPr>
            <w:t xml:space="preserve">第一章 </w:t>
          </w:r>
          <w:r>
            <w:rPr>
              <w:rFonts w:hint="eastAsia"/>
            </w:rPr>
            <w:t>总论</w:t>
          </w:r>
          <w:r>
            <w:tab/>
          </w:r>
          <w:r>
            <w:fldChar w:fldCharType="begin"/>
          </w:r>
          <w:r>
            <w:instrText xml:space="preserve"> PAGEREF _Toc19297 \h </w:instrText>
          </w:r>
          <w:r>
            <w:fldChar w:fldCharType="separate"/>
          </w:r>
          <w:r>
            <w:t>2</w:t>
          </w:r>
          <w:r>
            <w:fldChar w:fldCharType="end"/>
          </w:r>
          <w:r>
            <w:rPr>
              <w:color w:val="auto"/>
            </w:rPr>
            <w:fldChar w:fldCharType="end"/>
          </w:r>
        </w:p>
        <w:p>
          <w:pPr>
            <w:pStyle w:val="25"/>
            <w:tabs>
              <w:tab w:val="right" w:leader="dot" w:pos="8306"/>
            </w:tabs>
          </w:pPr>
          <w:r>
            <w:rPr>
              <w:color w:val="auto"/>
            </w:rPr>
            <w:fldChar w:fldCharType="begin"/>
          </w:r>
          <w:r>
            <w:instrText xml:space="preserve"> HYPERLINK \l _Toc2090 </w:instrText>
          </w:r>
          <w:r>
            <w:fldChar w:fldCharType="separate"/>
          </w:r>
          <w:r>
            <w:t>1.1</w:t>
          </w:r>
          <w:r>
            <w:rPr>
              <w:rFonts w:hint="eastAsia"/>
            </w:rPr>
            <w:t>概况</w:t>
          </w:r>
          <w:r>
            <w:tab/>
          </w:r>
          <w:r>
            <w:fldChar w:fldCharType="begin"/>
          </w:r>
          <w:r>
            <w:instrText xml:space="preserve"> PAGEREF _Toc2090 \h </w:instrText>
          </w:r>
          <w:r>
            <w:fldChar w:fldCharType="separate"/>
          </w:r>
          <w:r>
            <w:t>2</w:t>
          </w:r>
          <w:r>
            <w:fldChar w:fldCharType="end"/>
          </w:r>
          <w:r>
            <w:rPr>
              <w:color w:val="auto"/>
            </w:rPr>
            <w:fldChar w:fldCharType="end"/>
          </w:r>
        </w:p>
        <w:p>
          <w:pPr>
            <w:pStyle w:val="15"/>
            <w:tabs>
              <w:tab w:val="right" w:leader="dot" w:pos="8306"/>
            </w:tabs>
          </w:pPr>
          <w:r>
            <w:rPr>
              <w:color w:val="auto"/>
            </w:rPr>
            <w:fldChar w:fldCharType="begin"/>
          </w:r>
          <w:r>
            <w:instrText xml:space="preserve"> HYPERLINK \l _Toc14484 </w:instrText>
          </w:r>
          <w:r>
            <w:fldChar w:fldCharType="separate"/>
          </w:r>
          <w:r>
            <w:t>1.1.1项目由来</w:t>
          </w:r>
          <w:r>
            <w:tab/>
          </w:r>
          <w:r>
            <w:fldChar w:fldCharType="begin"/>
          </w:r>
          <w:r>
            <w:instrText xml:space="preserve"> PAGEREF _Toc14484 \h </w:instrText>
          </w:r>
          <w:r>
            <w:fldChar w:fldCharType="separate"/>
          </w:r>
          <w:r>
            <w:t>2</w:t>
          </w:r>
          <w:r>
            <w:fldChar w:fldCharType="end"/>
          </w:r>
          <w:r>
            <w:rPr>
              <w:color w:val="auto"/>
            </w:rPr>
            <w:fldChar w:fldCharType="end"/>
          </w:r>
        </w:p>
        <w:p>
          <w:pPr>
            <w:pStyle w:val="15"/>
            <w:tabs>
              <w:tab w:val="right" w:leader="dot" w:pos="8306"/>
            </w:tabs>
          </w:pPr>
          <w:r>
            <w:rPr>
              <w:color w:val="auto"/>
            </w:rPr>
            <w:fldChar w:fldCharType="begin"/>
          </w:r>
          <w:r>
            <w:instrText xml:space="preserve"> HYPERLINK \l _Toc22900 </w:instrText>
          </w:r>
          <w:r>
            <w:fldChar w:fldCharType="separate"/>
          </w:r>
          <w:r>
            <w:rPr>
              <w:rFonts w:hint="eastAsia"/>
            </w:rPr>
            <w:t>1.1.2评估工作的目的</w:t>
          </w:r>
          <w:r>
            <w:tab/>
          </w:r>
          <w:r>
            <w:fldChar w:fldCharType="begin"/>
          </w:r>
          <w:r>
            <w:instrText xml:space="preserve"> PAGEREF _Toc22900 \h </w:instrText>
          </w:r>
          <w:r>
            <w:fldChar w:fldCharType="separate"/>
          </w:r>
          <w:r>
            <w:t>2</w:t>
          </w:r>
          <w:r>
            <w:fldChar w:fldCharType="end"/>
          </w:r>
          <w:r>
            <w:rPr>
              <w:color w:val="auto"/>
            </w:rPr>
            <w:fldChar w:fldCharType="end"/>
          </w:r>
        </w:p>
        <w:p>
          <w:pPr>
            <w:pStyle w:val="25"/>
            <w:tabs>
              <w:tab w:val="right" w:leader="dot" w:pos="8306"/>
            </w:tabs>
          </w:pPr>
          <w:r>
            <w:rPr>
              <w:color w:val="auto"/>
            </w:rPr>
            <w:fldChar w:fldCharType="begin"/>
          </w:r>
          <w:r>
            <w:instrText xml:space="preserve"> HYPERLINK \l _Toc27953 </w:instrText>
          </w:r>
          <w:r>
            <w:fldChar w:fldCharType="separate"/>
          </w:r>
          <w:r>
            <w:rPr>
              <w:rFonts w:hint="eastAsia"/>
            </w:rPr>
            <w:t>1.2 评估范围及时段</w:t>
          </w:r>
          <w:r>
            <w:tab/>
          </w:r>
          <w:r>
            <w:fldChar w:fldCharType="begin"/>
          </w:r>
          <w:r>
            <w:instrText xml:space="preserve"> PAGEREF _Toc27953 \h </w:instrText>
          </w:r>
          <w:r>
            <w:fldChar w:fldCharType="separate"/>
          </w:r>
          <w:r>
            <w:t>3</w:t>
          </w:r>
          <w:r>
            <w:fldChar w:fldCharType="end"/>
          </w:r>
          <w:r>
            <w:rPr>
              <w:color w:val="auto"/>
            </w:rPr>
            <w:fldChar w:fldCharType="end"/>
          </w:r>
        </w:p>
        <w:p>
          <w:pPr>
            <w:pStyle w:val="15"/>
            <w:tabs>
              <w:tab w:val="right" w:leader="dot" w:pos="8306"/>
            </w:tabs>
          </w:pPr>
          <w:r>
            <w:rPr>
              <w:color w:val="auto"/>
            </w:rPr>
            <w:fldChar w:fldCharType="begin"/>
          </w:r>
          <w:r>
            <w:instrText xml:space="preserve"> HYPERLINK \l _Toc26832 </w:instrText>
          </w:r>
          <w:r>
            <w:fldChar w:fldCharType="separate"/>
          </w:r>
          <w:r>
            <w:t>1.</w:t>
          </w:r>
          <w:r>
            <w:rPr>
              <w:rFonts w:hint="eastAsia"/>
            </w:rPr>
            <w:t>2.1</w:t>
          </w:r>
          <w:r>
            <w:t>评估范围</w:t>
          </w:r>
          <w:r>
            <w:tab/>
          </w:r>
          <w:r>
            <w:fldChar w:fldCharType="begin"/>
          </w:r>
          <w:r>
            <w:instrText xml:space="preserve"> PAGEREF _Toc26832 \h </w:instrText>
          </w:r>
          <w:r>
            <w:fldChar w:fldCharType="separate"/>
          </w:r>
          <w:r>
            <w:t>3</w:t>
          </w:r>
          <w:r>
            <w:fldChar w:fldCharType="end"/>
          </w:r>
          <w:r>
            <w:rPr>
              <w:color w:val="auto"/>
            </w:rPr>
            <w:fldChar w:fldCharType="end"/>
          </w:r>
        </w:p>
        <w:p>
          <w:pPr>
            <w:pStyle w:val="15"/>
            <w:tabs>
              <w:tab w:val="right" w:leader="dot" w:pos="8306"/>
            </w:tabs>
          </w:pPr>
          <w:r>
            <w:rPr>
              <w:color w:val="auto"/>
            </w:rPr>
            <w:fldChar w:fldCharType="begin"/>
          </w:r>
          <w:r>
            <w:instrText xml:space="preserve"> HYPERLINK \l _Toc17311 </w:instrText>
          </w:r>
          <w:r>
            <w:fldChar w:fldCharType="separate"/>
          </w:r>
          <w:r>
            <w:rPr>
              <w:rFonts w:hint="eastAsia"/>
            </w:rPr>
            <w:t>1.2.2</w:t>
          </w:r>
          <w:r>
            <w:t>评估时段</w:t>
          </w:r>
          <w:r>
            <w:tab/>
          </w:r>
          <w:r>
            <w:fldChar w:fldCharType="begin"/>
          </w:r>
          <w:r>
            <w:instrText xml:space="preserve"> PAGEREF _Toc17311 \h </w:instrText>
          </w:r>
          <w:r>
            <w:fldChar w:fldCharType="separate"/>
          </w:r>
          <w:r>
            <w:t>4</w:t>
          </w:r>
          <w:r>
            <w:fldChar w:fldCharType="end"/>
          </w:r>
          <w:r>
            <w:rPr>
              <w:color w:val="auto"/>
            </w:rPr>
            <w:fldChar w:fldCharType="end"/>
          </w:r>
        </w:p>
        <w:p>
          <w:pPr>
            <w:pStyle w:val="25"/>
            <w:tabs>
              <w:tab w:val="right" w:leader="dot" w:pos="8306"/>
            </w:tabs>
          </w:pPr>
          <w:r>
            <w:rPr>
              <w:color w:val="auto"/>
            </w:rPr>
            <w:fldChar w:fldCharType="begin"/>
          </w:r>
          <w:r>
            <w:instrText xml:space="preserve"> HYPERLINK \l _Toc13215 </w:instrText>
          </w:r>
          <w:r>
            <w:fldChar w:fldCharType="separate"/>
          </w:r>
          <w:r>
            <w:t>1.</w:t>
          </w:r>
          <w:r>
            <w:rPr>
              <w:rFonts w:hint="eastAsia"/>
            </w:rPr>
            <w:t>3</w:t>
          </w:r>
          <w:r>
            <w:t xml:space="preserve"> 评估依据</w:t>
          </w:r>
          <w:r>
            <w:tab/>
          </w:r>
          <w:r>
            <w:fldChar w:fldCharType="begin"/>
          </w:r>
          <w:r>
            <w:instrText xml:space="preserve"> PAGEREF _Toc13215 \h </w:instrText>
          </w:r>
          <w:r>
            <w:fldChar w:fldCharType="separate"/>
          </w:r>
          <w:r>
            <w:t>4</w:t>
          </w:r>
          <w:r>
            <w:fldChar w:fldCharType="end"/>
          </w:r>
          <w:r>
            <w:rPr>
              <w:color w:val="auto"/>
            </w:rPr>
            <w:fldChar w:fldCharType="end"/>
          </w:r>
        </w:p>
        <w:p>
          <w:pPr>
            <w:pStyle w:val="15"/>
            <w:tabs>
              <w:tab w:val="right" w:leader="dot" w:pos="8306"/>
            </w:tabs>
          </w:pPr>
          <w:r>
            <w:rPr>
              <w:color w:val="auto"/>
            </w:rPr>
            <w:fldChar w:fldCharType="begin"/>
          </w:r>
          <w:r>
            <w:instrText xml:space="preserve"> HYPERLINK \l _Toc26119 </w:instrText>
          </w:r>
          <w:r>
            <w:fldChar w:fldCharType="separate"/>
          </w:r>
          <w:r>
            <w:t>1</w:t>
          </w:r>
          <w:r>
            <w:rPr>
              <w:rFonts w:hint="eastAsia"/>
            </w:rPr>
            <w:t>.3.1 法律、法规、规章（</w:t>
          </w:r>
          <w:r>
            <w:t>国家层面</w:t>
          </w:r>
          <w:r>
            <w:rPr>
              <w:rFonts w:hint="eastAsia"/>
            </w:rPr>
            <w:t>）</w:t>
          </w:r>
          <w:r>
            <w:tab/>
          </w:r>
          <w:r>
            <w:fldChar w:fldCharType="begin"/>
          </w:r>
          <w:r>
            <w:instrText xml:space="preserve"> PAGEREF _Toc26119 \h </w:instrText>
          </w:r>
          <w:r>
            <w:fldChar w:fldCharType="separate"/>
          </w:r>
          <w:r>
            <w:t>4</w:t>
          </w:r>
          <w:r>
            <w:fldChar w:fldCharType="end"/>
          </w:r>
          <w:r>
            <w:rPr>
              <w:color w:val="auto"/>
            </w:rPr>
            <w:fldChar w:fldCharType="end"/>
          </w:r>
        </w:p>
        <w:p>
          <w:pPr>
            <w:pStyle w:val="15"/>
            <w:tabs>
              <w:tab w:val="right" w:leader="dot" w:pos="8306"/>
            </w:tabs>
          </w:pPr>
          <w:r>
            <w:rPr>
              <w:color w:val="auto"/>
            </w:rPr>
            <w:fldChar w:fldCharType="begin"/>
          </w:r>
          <w:r>
            <w:instrText xml:space="preserve"> HYPERLINK \l _Toc31878 </w:instrText>
          </w:r>
          <w:r>
            <w:fldChar w:fldCharType="separate"/>
          </w:r>
          <w:r>
            <w:rPr>
              <w:rFonts w:hint="eastAsia"/>
            </w:rPr>
            <w:t>1.3.</w:t>
          </w:r>
          <w:r>
            <w:t>2</w:t>
          </w:r>
          <w:r>
            <w:rPr>
              <w:rFonts w:hint="eastAsia"/>
            </w:rPr>
            <w:t xml:space="preserve"> 法律、法规、规章（省级层面）</w:t>
          </w:r>
          <w:r>
            <w:tab/>
          </w:r>
          <w:r>
            <w:fldChar w:fldCharType="begin"/>
          </w:r>
          <w:r>
            <w:instrText xml:space="preserve"> PAGEREF _Toc31878 \h </w:instrText>
          </w:r>
          <w:r>
            <w:fldChar w:fldCharType="separate"/>
          </w:r>
          <w:r>
            <w:t>5</w:t>
          </w:r>
          <w:r>
            <w:fldChar w:fldCharType="end"/>
          </w:r>
          <w:r>
            <w:rPr>
              <w:color w:val="auto"/>
            </w:rPr>
            <w:fldChar w:fldCharType="end"/>
          </w:r>
        </w:p>
        <w:p>
          <w:pPr>
            <w:pStyle w:val="15"/>
            <w:tabs>
              <w:tab w:val="right" w:leader="dot" w:pos="8306"/>
            </w:tabs>
          </w:pPr>
          <w:r>
            <w:rPr>
              <w:color w:val="auto"/>
            </w:rPr>
            <w:fldChar w:fldCharType="begin"/>
          </w:r>
          <w:r>
            <w:instrText xml:space="preserve"> HYPERLINK \l _Toc20758 </w:instrText>
          </w:r>
          <w:r>
            <w:fldChar w:fldCharType="separate"/>
          </w:r>
          <w:r>
            <w:rPr>
              <w:rFonts w:hint="eastAsia"/>
            </w:rPr>
            <w:t>1.3.</w:t>
          </w:r>
          <w:r>
            <w:t>3</w:t>
          </w:r>
          <w:r>
            <w:rPr>
              <w:rFonts w:hint="eastAsia"/>
            </w:rPr>
            <w:t xml:space="preserve"> </w:t>
          </w:r>
          <w:r>
            <w:t>市级层面</w:t>
          </w:r>
          <w:r>
            <w:tab/>
          </w:r>
          <w:r>
            <w:fldChar w:fldCharType="begin"/>
          </w:r>
          <w:r>
            <w:instrText xml:space="preserve"> PAGEREF _Toc20758 \h </w:instrText>
          </w:r>
          <w:r>
            <w:fldChar w:fldCharType="separate"/>
          </w:r>
          <w:r>
            <w:t>7</w:t>
          </w:r>
          <w:r>
            <w:fldChar w:fldCharType="end"/>
          </w:r>
          <w:r>
            <w:rPr>
              <w:color w:val="auto"/>
            </w:rPr>
            <w:fldChar w:fldCharType="end"/>
          </w:r>
        </w:p>
        <w:p>
          <w:pPr>
            <w:pStyle w:val="15"/>
            <w:tabs>
              <w:tab w:val="right" w:leader="dot" w:pos="8306"/>
            </w:tabs>
          </w:pPr>
          <w:r>
            <w:rPr>
              <w:color w:val="auto"/>
            </w:rPr>
            <w:fldChar w:fldCharType="begin"/>
          </w:r>
          <w:r>
            <w:instrText xml:space="preserve"> HYPERLINK \l _Toc26543 </w:instrText>
          </w:r>
          <w:r>
            <w:fldChar w:fldCharType="separate"/>
          </w:r>
          <w:r>
            <w:rPr>
              <w:rFonts w:hint="eastAsia"/>
            </w:rPr>
            <w:t>1.3.4 规范</w:t>
          </w:r>
          <w:r>
            <w:t>及标准</w:t>
          </w:r>
          <w:r>
            <w:tab/>
          </w:r>
          <w:r>
            <w:fldChar w:fldCharType="begin"/>
          </w:r>
          <w:r>
            <w:instrText xml:space="preserve"> PAGEREF _Toc26543 \h </w:instrText>
          </w:r>
          <w:r>
            <w:fldChar w:fldCharType="separate"/>
          </w:r>
          <w:r>
            <w:t>7</w:t>
          </w:r>
          <w:r>
            <w:fldChar w:fldCharType="end"/>
          </w:r>
          <w:r>
            <w:rPr>
              <w:color w:val="auto"/>
            </w:rPr>
            <w:fldChar w:fldCharType="end"/>
          </w:r>
        </w:p>
        <w:p>
          <w:pPr>
            <w:pStyle w:val="25"/>
            <w:tabs>
              <w:tab w:val="right" w:leader="dot" w:pos="8306"/>
            </w:tabs>
          </w:pPr>
          <w:r>
            <w:rPr>
              <w:color w:val="auto"/>
            </w:rPr>
            <w:fldChar w:fldCharType="begin"/>
          </w:r>
          <w:r>
            <w:instrText xml:space="preserve"> HYPERLINK \l _Toc4533 </w:instrText>
          </w:r>
          <w:r>
            <w:fldChar w:fldCharType="separate"/>
          </w:r>
          <w:r>
            <w:t>1.</w:t>
          </w:r>
          <w:r>
            <w:rPr>
              <w:rFonts w:hint="eastAsia"/>
            </w:rPr>
            <w:t xml:space="preserve">4 </w:t>
          </w:r>
          <w:r>
            <w:t>评估内容和重点</w:t>
          </w:r>
          <w:r>
            <w:tab/>
          </w:r>
          <w:r>
            <w:fldChar w:fldCharType="begin"/>
          </w:r>
          <w:r>
            <w:instrText xml:space="preserve"> PAGEREF _Toc4533 \h </w:instrText>
          </w:r>
          <w:r>
            <w:fldChar w:fldCharType="separate"/>
          </w:r>
          <w:r>
            <w:t>8</w:t>
          </w:r>
          <w:r>
            <w:fldChar w:fldCharType="end"/>
          </w:r>
          <w:r>
            <w:rPr>
              <w:color w:val="auto"/>
            </w:rPr>
            <w:fldChar w:fldCharType="end"/>
          </w:r>
        </w:p>
        <w:p>
          <w:pPr>
            <w:pStyle w:val="25"/>
            <w:tabs>
              <w:tab w:val="right" w:leader="dot" w:pos="8306"/>
            </w:tabs>
          </w:pPr>
          <w:r>
            <w:rPr>
              <w:color w:val="auto"/>
            </w:rPr>
            <w:fldChar w:fldCharType="begin"/>
          </w:r>
          <w:r>
            <w:instrText xml:space="preserve"> HYPERLINK \l _Toc2597 </w:instrText>
          </w:r>
          <w:r>
            <w:fldChar w:fldCharType="separate"/>
          </w:r>
          <w:r>
            <w:t>1.</w:t>
          </w:r>
          <w:r>
            <w:rPr>
              <w:rFonts w:hint="eastAsia"/>
            </w:rPr>
            <w:t>5</w:t>
          </w:r>
          <w:r>
            <w:t>评估原则</w:t>
          </w:r>
          <w:r>
            <w:tab/>
          </w:r>
          <w:r>
            <w:fldChar w:fldCharType="begin"/>
          </w:r>
          <w:r>
            <w:instrText xml:space="preserve"> PAGEREF _Toc2597 \h </w:instrText>
          </w:r>
          <w:r>
            <w:fldChar w:fldCharType="separate"/>
          </w:r>
          <w:r>
            <w:t>9</w:t>
          </w:r>
          <w:r>
            <w:fldChar w:fldCharType="end"/>
          </w:r>
          <w:r>
            <w:rPr>
              <w:color w:val="auto"/>
            </w:rPr>
            <w:fldChar w:fldCharType="end"/>
          </w:r>
        </w:p>
        <w:p>
          <w:pPr>
            <w:pStyle w:val="21"/>
            <w:tabs>
              <w:tab w:val="right" w:leader="dot" w:pos="8306"/>
            </w:tabs>
          </w:pPr>
          <w:r>
            <w:rPr>
              <w:color w:val="auto"/>
            </w:rPr>
            <w:fldChar w:fldCharType="begin"/>
          </w:r>
          <w:r>
            <w:instrText xml:space="preserve"> HYPERLINK \l _Toc15743 </w:instrText>
          </w:r>
          <w:r>
            <w:fldChar w:fldCharType="separate"/>
          </w:r>
          <w:r>
            <w:rPr>
              <w:rFonts w:hint="eastAsia"/>
            </w:rPr>
            <w:t xml:space="preserve">第二章 </w:t>
          </w:r>
          <w:r>
            <w:t>三亚市建筑</w:t>
          </w:r>
          <w:r>
            <w:rPr>
              <w:rFonts w:hint="eastAsia"/>
            </w:rPr>
            <w:t>发展及</w:t>
          </w:r>
          <w:r>
            <w:t>节能现状</w:t>
          </w:r>
          <w:r>
            <w:tab/>
          </w:r>
          <w:r>
            <w:fldChar w:fldCharType="begin"/>
          </w:r>
          <w:r>
            <w:instrText xml:space="preserve"> PAGEREF _Toc15743 \h </w:instrText>
          </w:r>
          <w:r>
            <w:fldChar w:fldCharType="separate"/>
          </w:r>
          <w:r>
            <w:t>10</w:t>
          </w:r>
          <w:r>
            <w:fldChar w:fldCharType="end"/>
          </w:r>
          <w:r>
            <w:rPr>
              <w:color w:val="auto"/>
            </w:rPr>
            <w:fldChar w:fldCharType="end"/>
          </w:r>
        </w:p>
        <w:p>
          <w:pPr>
            <w:pStyle w:val="25"/>
            <w:tabs>
              <w:tab w:val="right" w:leader="dot" w:pos="8306"/>
            </w:tabs>
          </w:pPr>
          <w:r>
            <w:rPr>
              <w:color w:val="auto"/>
            </w:rPr>
            <w:fldChar w:fldCharType="begin"/>
          </w:r>
          <w:r>
            <w:instrText xml:space="preserve"> HYPERLINK \l _Toc3300 </w:instrText>
          </w:r>
          <w:r>
            <w:fldChar w:fldCharType="separate"/>
          </w:r>
          <w:r>
            <w:rPr>
              <w:rFonts w:hint="eastAsia"/>
            </w:rPr>
            <w:t>2.1</w:t>
          </w:r>
          <w:r>
            <w:t>三亚市基本概况</w:t>
          </w:r>
          <w:r>
            <w:tab/>
          </w:r>
          <w:r>
            <w:fldChar w:fldCharType="begin"/>
          </w:r>
          <w:r>
            <w:instrText xml:space="preserve"> PAGEREF _Toc3300 \h </w:instrText>
          </w:r>
          <w:r>
            <w:fldChar w:fldCharType="separate"/>
          </w:r>
          <w:r>
            <w:t>10</w:t>
          </w:r>
          <w:r>
            <w:fldChar w:fldCharType="end"/>
          </w:r>
          <w:r>
            <w:rPr>
              <w:color w:val="auto"/>
            </w:rPr>
            <w:fldChar w:fldCharType="end"/>
          </w:r>
        </w:p>
        <w:p>
          <w:pPr>
            <w:pStyle w:val="25"/>
            <w:tabs>
              <w:tab w:val="right" w:leader="dot" w:pos="8306"/>
            </w:tabs>
          </w:pPr>
          <w:r>
            <w:rPr>
              <w:color w:val="auto"/>
            </w:rPr>
            <w:fldChar w:fldCharType="begin"/>
          </w:r>
          <w:r>
            <w:instrText xml:space="preserve"> HYPERLINK \l _Toc25607 </w:instrText>
          </w:r>
          <w:r>
            <w:fldChar w:fldCharType="separate"/>
          </w:r>
          <w:r>
            <w:rPr>
              <w:rFonts w:hint="eastAsia"/>
            </w:rPr>
            <w:t xml:space="preserve">2.2 </w:t>
          </w:r>
          <w:r>
            <w:t>全市建筑</w:t>
          </w:r>
          <w:r>
            <w:rPr>
              <w:rFonts w:hint="eastAsia"/>
            </w:rPr>
            <w:t>发展现状及趋势</w:t>
          </w:r>
          <w:r>
            <w:tab/>
          </w:r>
          <w:r>
            <w:fldChar w:fldCharType="begin"/>
          </w:r>
          <w:r>
            <w:instrText xml:space="preserve"> PAGEREF _Toc25607 \h </w:instrText>
          </w:r>
          <w:r>
            <w:fldChar w:fldCharType="separate"/>
          </w:r>
          <w:r>
            <w:t>11</w:t>
          </w:r>
          <w:r>
            <w:fldChar w:fldCharType="end"/>
          </w:r>
          <w:r>
            <w:rPr>
              <w:color w:val="auto"/>
            </w:rPr>
            <w:fldChar w:fldCharType="end"/>
          </w:r>
        </w:p>
        <w:p>
          <w:pPr>
            <w:pStyle w:val="15"/>
            <w:tabs>
              <w:tab w:val="right" w:leader="dot" w:pos="8306"/>
            </w:tabs>
          </w:pPr>
          <w:r>
            <w:rPr>
              <w:color w:val="auto"/>
            </w:rPr>
            <w:fldChar w:fldCharType="begin"/>
          </w:r>
          <w:r>
            <w:instrText xml:space="preserve"> HYPERLINK \l _Toc18839 </w:instrText>
          </w:r>
          <w:r>
            <w:fldChar w:fldCharType="separate"/>
          </w:r>
          <w:r>
            <w:rPr>
              <w:rFonts w:hint="eastAsia"/>
            </w:rPr>
            <w:t>2.2.1建筑发展现状</w:t>
          </w:r>
          <w:r>
            <w:tab/>
          </w:r>
          <w:r>
            <w:fldChar w:fldCharType="begin"/>
          </w:r>
          <w:r>
            <w:instrText xml:space="preserve"> PAGEREF _Toc18839 \h </w:instrText>
          </w:r>
          <w:r>
            <w:fldChar w:fldCharType="separate"/>
          </w:r>
          <w:r>
            <w:t>11</w:t>
          </w:r>
          <w:r>
            <w:fldChar w:fldCharType="end"/>
          </w:r>
          <w:r>
            <w:rPr>
              <w:color w:val="auto"/>
            </w:rPr>
            <w:fldChar w:fldCharType="end"/>
          </w:r>
        </w:p>
        <w:p>
          <w:pPr>
            <w:pStyle w:val="15"/>
            <w:tabs>
              <w:tab w:val="right" w:leader="dot" w:pos="8306"/>
            </w:tabs>
          </w:pPr>
          <w:r>
            <w:rPr>
              <w:color w:val="auto"/>
            </w:rPr>
            <w:fldChar w:fldCharType="begin"/>
          </w:r>
          <w:r>
            <w:instrText xml:space="preserve"> HYPERLINK \l _Toc26410 </w:instrText>
          </w:r>
          <w:r>
            <w:fldChar w:fldCharType="separate"/>
          </w:r>
          <w:r>
            <w:rPr>
              <w:rFonts w:hint="eastAsia"/>
            </w:rPr>
            <w:t>2.2.2</w:t>
          </w:r>
          <w:r>
            <w:t>建设发展趋势</w:t>
          </w:r>
          <w:r>
            <w:tab/>
          </w:r>
          <w:r>
            <w:fldChar w:fldCharType="begin"/>
          </w:r>
          <w:r>
            <w:instrText xml:space="preserve"> PAGEREF _Toc26410 \h </w:instrText>
          </w:r>
          <w:r>
            <w:fldChar w:fldCharType="separate"/>
          </w:r>
          <w:r>
            <w:t>13</w:t>
          </w:r>
          <w:r>
            <w:fldChar w:fldCharType="end"/>
          </w:r>
          <w:r>
            <w:rPr>
              <w:color w:val="auto"/>
            </w:rPr>
            <w:fldChar w:fldCharType="end"/>
          </w:r>
        </w:p>
        <w:p>
          <w:pPr>
            <w:pStyle w:val="25"/>
            <w:tabs>
              <w:tab w:val="right" w:leader="dot" w:pos="8306"/>
            </w:tabs>
          </w:pPr>
          <w:r>
            <w:rPr>
              <w:color w:val="auto"/>
            </w:rPr>
            <w:fldChar w:fldCharType="begin"/>
          </w:r>
          <w:r>
            <w:instrText xml:space="preserve"> HYPERLINK \l _Toc13851 </w:instrText>
          </w:r>
          <w:r>
            <w:fldChar w:fldCharType="separate"/>
          </w:r>
          <w:r>
            <w:rPr>
              <w:rFonts w:hint="eastAsia"/>
            </w:rPr>
            <w:t>2.3</w:t>
          </w:r>
          <w:r>
            <w:t>三亚市区域能源</w:t>
          </w:r>
          <w:r>
            <w:rPr>
              <w:rFonts w:hint="eastAsia"/>
            </w:rPr>
            <w:t>规划及</w:t>
          </w:r>
          <w:r>
            <w:t>现状</w:t>
          </w:r>
          <w:r>
            <w:tab/>
          </w:r>
          <w:r>
            <w:fldChar w:fldCharType="begin"/>
          </w:r>
          <w:r>
            <w:instrText xml:space="preserve"> PAGEREF _Toc13851 \h </w:instrText>
          </w:r>
          <w:r>
            <w:fldChar w:fldCharType="separate"/>
          </w:r>
          <w:r>
            <w:t>14</w:t>
          </w:r>
          <w:r>
            <w:fldChar w:fldCharType="end"/>
          </w:r>
          <w:r>
            <w:rPr>
              <w:color w:val="auto"/>
            </w:rPr>
            <w:fldChar w:fldCharType="end"/>
          </w:r>
        </w:p>
        <w:p>
          <w:pPr>
            <w:pStyle w:val="15"/>
            <w:tabs>
              <w:tab w:val="right" w:leader="dot" w:pos="8306"/>
            </w:tabs>
          </w:pPr>
          <w:r>
            <w:rPr>
              <w:color w:val="auto"/>
            </w:rPr>
            <w:fldChar w:fldCharType="begin"/>
          </w:r>
          <w:r>
            <w:instrText xml:space="preserve"> HYPERLINK \l _Toc23289 </w:instrText>
          </w:r>
          <w:r>
            <w:fldChar w:fldCharType="separate"/>
          </w:r>
          <w:r>
            <w:rPr>
              <w:rFonts w:hint="eastAsia"/>
            </w:rPr>
            <w:t>2.3</w:t>
          </w:r>
          <w:r>
            <w:t>.1三亚市区域能源</w:t>
          </w:r>
          <w:r>
            <w:rPr>
              <w:rFonts w:hint="eastAsia"/>
            </w:rPr>
            <w:t>规划</w:t>
          </w:r>
          <w:r>
            <w:tab/>
          </w:r>
          <w:r>
            <w:fldChar w:fldCharType="begin"/>
          </w:r>
          <w:r>
            <w:instrText xml:space="preserve"> PAGEREF _Toc23289 \h </w:instrText>
          </w:r>
          <w:r>
            <w:fldChar w:fldCharType="separate"/>
          </w:r>
          <w:r>
            <w:t>14</w:t>
          </w:r>
          <w:r>
            <w:fldChar w:fldCharType="end"/>
          </w:r>
          <w:r>
            <w:rPr>
              <w:color w:val="auto"/>
            </w:rPr>
            <w:fldChar w:fldCharType="end"/>
          </w:r>
        </w:p>
        <w:p>
          <w:pPr>
            <w:pStyle w:val="15"/>
            <w:tabs>
              <w:tab w:val="right" w:leader="dot" w:pos="8306"/>
            </w:tabs>
          </w:pPr>
          <w:r>
            <w:rPr>
              <w:color w:val="auto"/>
            </w:rPr>
            <w:fldChar w:fldCharType="begin"/>
          </w:r>
          <w:r>
            <w:instrText xml:space="preserve"> HYPERLINK \l _Toc23869 </w:instrText>
          </w:r>
          <w:r>
            <w:fldChar w:fldCharType="separate"/>
          </w:r>
          <w:r>
            <w:rPr>
              <w:rFonts w:hint="eastAsia"/>
            </w:rPr>
            <w:t>2.3</w:t>
          </w:r>
          <w:r>
            <w:t>.</w:t>
          </w:r>
          <w:r>
            <w:rPr>
              <w:rFonts w:hint="eastAsia"/>
            </w:rPr>
            <w:t>2</w:t>
          </w:r>
          <w:r>
            <w:t>三亚市区域能源使用现状</w:t>
          </w:r>
          <w:r>
            <w:tab/>
          </w:r>
          <w:r>
            <w:fldChar w:fldCharType="begin"/>
          </w:r>
          <w:r>
            <w:instrText xml:space="preserve"> PAGEREF _Toc23869 \h </w:instrText>
          </w:r>
          <w:r>
            <w:fldChar w:fldCharType="separate"/>
          </w:r>
          <w:r>
            <w:t>14</w:t>
          </w:r>
          <w:r>
            <w:fldChar w:fldCharType="end"/>
          </w:r>
          <w:r>
            <w:rPr>
              <w:color w:val="auto"/>
            </w:rPr>
            <w:fldChar w:fldCharType="end"/>
          </w:r>
        </w:p>
        <w:p>
          <w:pPr>
            <w:pStyle w:val="25"/>
            <w:tabs>
              <w:tab w:val="right" w:leader="dot" w:pos="8306"/>
            </w:tabs>
          </w:pPr>
          <w:r>
            <w:rPr>
              <w:color w:val="auto"/>
            </w:rPr>
            <w:fldChar w:fldCharType="begin"/>
          </w:r>
          <w:r>
            <w:instrText xml:space="preserve"> HYPERLINK \l _Toc21001 </w:instrText>
          </w:r>
          <w:r>
            <w:fldChar w:fldCharType="separate"/>
          </w:r>
          <w:r>
            <w:rPr>
              <w:rFonts w:hint="eastAsia"/>
            </w:rPr>
            <w:t>2.4</w:t>
          </w:r>
          <w:r>
            <w:t>建筑能耗</w:t>
          </w:r>
          <w:r>
            <w:rPr>
              <w:rFonts w:hint="eastAsia"/>
            </w:rPr>
            <w:t>现状</w:t>
          </w:r>
          <w:r>
            <w:tab/>
          </w:r>
          <w:r>
            <w:fldChar w:fldCharType="begin"/>
          </w:r>
          <w:r>
            <w:instrText xml:space="preserve"> PAGEREF _Toc21001 \h </w:instrText>
          </w:r>
          <w:r>
            <w:fldChar w:fldCharType="separate"/>
          </w:r>
          <w:r>
            <w:t>15</w:t>
          </w:r>
          <w:r>
            <w:fldChar w:fldCharType="end"/>
          </w:r>
          <w:r>
            <w:rPr>
              <w:color w:val="auto"/>
            </w:rPr>
            <w:fldChar w:fldCharType="end"/>
          </w:r>
        </w:p>
        <w:p>
          <w:pPr>
            <w:pStyle w:val="25"/>
            <w:tabs>
              <w:tab w:val="right" w:leader="dot" w:pos="8306"/>
            </w:tabs>
          </w:pPr>
          <w:r>
            <w:rPr>
              <w:color w:val="auto"/>
            </w:rPr>
            <w:fldChar w:fldCharType="begin"/>
          </w:r>
          <w:r>
            <w:instrText xml:space="preserve"> HYPERLINK \l _Toc22096 </w:instrText>
          </w:r>
          <w:r>
            <w:fldChar w:fldCharType="separate"/>
          </w:r>
          <w:r>
            <w:rPr>
              <w:rFonts w:hint="eastAsia"/>
            </w:rPr>
            <w:t>2.5 建筑节能工作现状</w:t>
          </w:r>
          <w:r>
            <w:tab/>
          </w:r>
          <w:r>
            <w:fldChar w:fldCharType="begin"/>
          </w:r>
          <w:r>
            <w:instrText xml:space="preserve"> PAGEREF _Toc22096 \h </w:instrText>
          </w:r>
          <w:r>
            <w:fldChar w:fldCharType="separate"/>
          </w:r>
          <w:r>
            <w:t>17</w:t>
          </w:r>
          <w:r>
            <w:fldChar w:fldCharType="end"/>
          </w:r>
          <w:r>
            <w:rPr>
              <w:color w:val="auto"/>
            </w:rPr>
            <w:fldChar w:fldCharType="end"/>
          </w:r>
        </w:p>
        <w:p>
          <w:pPr>
            <w:pStyle w:val="15"/>
            <w:tabs>
              <w:tab w:val="right" w:leader="dot" w:pos="8306"/>
            </w:tabs>
          </w:pPr>
          <w:r>
            <w:rPr>
              <w:color w:val="auto"/>
            </w:rPr>
            <w:fldChar w:fldCharType="begin"/>
          </w:r>
          <w:r>
            <w:instrText xml:space="preserve"> HYPERLINK \l _Toc24871 </w:instrText>
          </w:r>
          <w:r>
            <w:fldChar w:fldCharType="separate"/>
          </w:r>
          <w:r>
            <w:rPr>
              <w:rFonts w:hint="eastAsia"/>
            </w:rPr>
            <w:t>2.5.1新建建筑节能审查工作严格</w:t>
          </w:r>
          <w:r>
            <w:tab/>
          </w:r>
          <w:r>
            <w:fldChar w:fldCharType="begin"/>
          </w:r>
          <w:r>
            <w:instrText xml:space="preserve"> PAGEREF _Toc24871 \h </w:instrText>
          </w:r>
          <w:r>
            <w:fldChar w:fldCharType="separate"/>
          </w:r>
          <w:r>
            <w:t>17</w:t>
          </w:r>
          <w:r>
            <w:fldChar w:fldCharType="end"/>
          </w:r>
          <w:r>
            <w:rPr>
              <w:color w:val="auto"/>
            </w:rPr>
            <w:fldChar w:fldCharType="end"/>
          </w:r>
        </w:p>
        <w:p>
          <w:pPr>
            <w:pStyle w:val="15"/>
            <w:tabs>
              <w:tab w:val="right" w:leader="dot" w:pos="8306"/>
            </w:tabs>
          </w:pPr>
          <w:r>
            <w:rPr>
              <w:color w:val="auto"/>
            </w:rPr>
            <w:fldChar w:fldCharType="begin"/>
          </w:r>
          <w:r>
            <w:instrText xml:space="preserve"> HYPERLINK \l _Toc31374 </w:instrText>
          </w:r>
          <w:r>
            <w:fldChar w:fldCharType="separate"/>
          </w:r>
          <w:r>
            <w:rPr>
              <w:rFonts w:hint="eastAsia"/>
            </w:rPr>
            <w:t>2.5.2 推进装配式建筑发展</w:t>
          </w:r>
          <w:r>
            <w:tab/>
          </w:r>
          <w:r>
            <w:fldChar w:fldCharType="begin"/>
          </w:r>
          <w:r>
            <w:instrText xml:space="preserve"> PAGEREF _Toc31374 \h </w:instrText>
          </w:r>
          <w:r>
            <w:fldChar w:fldCharType="separate"/>
          </w:r>
          <w:r>
            <w:t>18</w:t>
          </w:r>
          <w:r>
            <w:fldChar w:fldCharType="end"/>
          </w:r>
          <w:r>
            <w:rPr>
              <w:color w:val="auto"/>
            </w:rPr>
            <w:fldChar w:fldCharType="end"/>
          </w:r>
        </w:p>
        <w:p>
          <w:pPr>
            <w:pStyle w:val="15"/>
            <w:tabs>
              <w:tab w:val="right" w:leader="dot" w:pos="8306"/>
            </w:tabs>
          </w:pPr>
          <w:r>
            <w:rPr>
              <w:color w:val="auto"/>
            </w:rPr>
            <w:fldChar w:fldCharType="begin"/>
          </w:r>
          <w:r>
            <w:instrText xml:space="preserve"> HYPERLINK \l _Toc15809 </w:instrText>
          </w:r>
          <w:r>
            <w:fldChar w:fldCharType="separate"/>
          </w:r>
          <w:r>
            <w:rPr>
              <w:rFonts w:hint="eastAsia"/>
            </w:rPr>
            <w:t>2.5.3 稳步推进绿色建筑工程实体质量</w:t>
          </w:r>
          <w:r>
            <w:tab/>
          </w:r>
          <w:r>
            <w:fldChar w:fldCharType="begin"/>
          </w:r>
          <w:r>
            <w:instrText xml:space="preserve"> PAGEREF _Toc15809 \h </w:instrText>
          </w:r>
          <w:r>
            <w:fldChar w:fldCharType="separate"/>
          </w:r>
          <w:r>
            <w:t>19</w:t>
          </w:r>
          <w:r>
            <w:fldChar w:fldCharType="end"/>
          </w:r>
          <w:r>
            <w:rPr>
              <w:color w:val="auto"/>
            </w:rPr>
            <w:fldChar w:fldCharType="end"/>
          </w:r>
        </w:p>
        <w:p>
          <w:pPr>
            <w:pStyle w:val="15"/>
            <w:tabs>
              <w:tab w:val="right" w:leader="dot" w:pos="8306"/>
            </w:tabs>
          </w:pPr>
          <w:r>
            <w:rPr>
              <w:color w:val="auto"/>
            </w:rPr>
            <w:fldChar w:fldCharType="begin"/>
          </w:r>
          <w:r>
            <w:instrText xml:space="preserve"> HYPERLINK \l _Toc20065 </w:instrText>
          </w:r>
          <w:r>
            <w:fldChar w:fldCharType="separate"/>
          </w:r>
          <w:r>
            <w:rPr>
              <w:rFonts w:hint="eastAsia"/>
            </w:rPr>
            <w:t>2.5.4 可再生能源建筑应用</w:t>
          </w:r>
          <w:r>
            <w:tab/>
          </w:r>
          <w:r>
            <w:fldChar w:fldCharType="begin"/>
          </w:r>
          <w:r>
            <w:instrText xml:space="preserve"> PAGEREF _Toc20065 \h </w:instrText>
          </w:r>
          <w:r>
            <w:fldChar w:fldCharType="separate"/>
          </w:r>
          <w:r>
            <w:t>19</w:t>
          </w:r>
          <w:r>
            <w:fldChar w:fldCharType="end"/>
          </w:r>
          <w:r>
            <w:rPr>
              <w:color w:val="auto"/>
            </w:rPr>
            <w:fldChar w:fldCharType="end"/>
          </w:r>
        </w:p>
        <w:p>
          <w:pPr>
            <w:pStyle w:val="15"/>
            <w:tabs>
              <w:tab w:val="right" w:leader="dot" w:pos="8306"/>
            </w:tabs>
          </w:pPr>
          <w:r>
            <w:rPr>
              <w:color w:val="auto"/>
            </w:rPr>
            <w:fldChar w:fldCharType="begin"/>
          </w:r>
          <w:r>
            <w:instrText xml:space="preserve"> HYPERLINK \l _Toc13445 </w:instrText>
          </w:r>
          <w:r>
            <w:fldChar w:fldCharType="separate"/>
          </w:r>
          <w:r>
            <w:rPr>
              <w:rFonts w:hint="eastAsia"/>
            </w:rPr>
            <w:t>2.5.5 大力宣传建筑节能相关政策</w:t>
          </w:r>
          <w:r>
            <w:tab/>
          </w:r>
          <w:r>
            <w:fldChar w:fldCharType="begin"/>
          </w:r>
          <w:r>
            <w:instrText xml:space="preserve"> PAGEREF _Toc13445 \h </w:instrText>
          </w:r>
          <w:r>
            <w:fldChar w:fldCharType="separate"/>
          </w:r>
          <w:r>
            <w:t>19</w:t>
          </w:r>
          <w:r>
            <w:fldChar w:fldCharType="end"/>
          </w:r>
          <w:r>
            <w:rPr>
              <w:color w:val="auto"/>
            </w:rPr>
            <w:fldChar w:fldCharType="end"/>
          </w:r>
        </w:p>
        <w:p>
          <w:pPr>
            <w:pStyle w:val="25"/>
            <w:tabs>
              <w:tab w:val="right" w:leader="dot" w:pos="8306"/>
            </w:tabs>
          </w:pPr>
          <w:r>
            <w:rPr>
              <w:color w:val="auto"/>
            </w:rPr>
            <w:fldChar w:fldCharType="begin"/>
          </w:r>
          <w:r>
            <w:instrText xml:space="preserve"> HYPERLINK \l _Toc1537 </w:instrText>
          </w:r>
          <w:r>
            <w:fldChar w:fldCharType="separate"/>
          </w:r>
          <w:r>
            <w:rPr>
              <w:rFonts w:hint="eastAsia"/>
            </w:rPr>
            <w:t>2.6节能及相关</w:t>
          </w:r>
          <w:r>
            <w:rPr>
              <w:rFonts w:hint="eastAsia" w:ascii="黑体" w:hAnsi="黑体"/>
              <w:szCs w:val="32"/>
            </w:rPr>
            <w:t>工作中存在的问题</w:t>
          </w:r>
          <w:r>
            <w:tab/>
          </w:r>
          <w:r>
            <w:fldChar w:fldCharType="begin"/>
          </w:r>
          <w:r>
            <w:instrText xml:space="preserve"> PAGEREF _Toc1537 \h </w:instrText>
          </w:r>
          <w:r>
            <w:fldChar w:fldCharType="separate"/>
          </w:r>
          <w:r>
            <w:t>20</w:t>
          </w:r>
          <w:r>
            <w:fldChar w:fldCharType="end"/>
          </w:r>
          <w:r>
            <w:rPr>
              <w:color w:val="auto"/>
            </w:rPr>
            <w:fldChar w:fldCharType="end"/>
          </w:r>
        </w:p>
        <w:p>
          <w:pPr>
            <w:pStyle w:val="15"/>
            <w:tabs>
              <w:tab w:val="right" w:leader="dot" w:pos="8306"/>
            </w:tabs>
          </w:pPr>
          <w:r>
            <w:rPr>
              <w:color w:val="auto"/>
            </w:rPr>
            <w:fldChar w:fldCharType="begin"/>
          </w:r>
          <w:r>
            <w:instrText xml:space="preserve"> HYPERLINK \l _Toc25089 </w:instrText>
          </w:r>
          <w:r>
            <w:fldChar w:fldCharType="separate"/>
          </w:r>
          <w:r>
            <w:rPr>
              <w:rFonts w:hint="eastAsia"/>
            </w:rPr>
            <w:t>2.6.1 施工及验收工作有待进一步加强</w:t>
          </w:r>
          <w:r>
            <w:tab/>
          </w:r>
          <w:r>
            <w:fldChar w:fldCharType="begin"/>
          </w:r>
          <w:r>
            <w:instrText xml:space="preserve"> PAGEREF _Toc25089 \h </w:instrText>
          </w:r>
          <w:r>
            <w:fldChar w:fldCharType="separate"/>
          </w:r>
          <w:r>
            <w:t>20</w:t>
          </w:r>
          <w:r>
            <w:fldChar w:fldCharType="end"/>
          </w:r>
          <w:r>
            <w:rPr>
              <w:color w:val="auto"/>
            </w:rPr>
            <w:fldChar w:fldCharType="end"/>
          </w:r>
        </w:p>
        <w:p>
          <w:pPr>
            <w:pStyle w:val="15"/>
            <w:tabs>
              <w:tab w:val="right" w:leader="dot" w:pos="8306"/>
            </w:tabs>
          </w:pPr>
          <w:r>
            <w:rPr>
              <w:color w:val="auto"/>
            </w:rPr>
            <w:fldChar w:fldCharType="begin"/>
          </w:r>
          <w:r>
            <w:instrText xml:space="preserve"> HYPERLINK \l _Toc2068 </w:instrText>
          </w:r>
          <w:r>
            <w:fldChar w:fldCharType="separate"/>
          </w:r>
          <w:r>
            <w:rPr>
              <w:rFonts w:hint="eastAsia"/>
            </w:rPr>
            <w:t>2.6.2高星级标识项目有待推进</w:t>
          </w:r>
          <w:r>
            <w:tab/>
          </w:r>
          <w:r>
            <w:fldChar w:fldCharType="begin"/>
          </w:r>
          <w:r>
            <w:instrText xml:space="preserve"> PAGEREF _Toc2068 \h </w:instrText>
          </w:r>
          <w:r>
            <w:fldChar w:fldCharType="separate"/>
          </w:r>
          <w:r>
            <w:t>20</w:t>
          </w:r>
          <w:r>
            <w:fldChar w:fldCharType="end"/>
          </w:r>
          <w:r>
            <w:rPr>
              <w:color w:val="auto"/>
            </w:rPr>
            <w:fldChar w:fldCharType="end"/>
          </w:r>
        </w:p>
        <w:p>
          <w:pPr>
            <w:pStyle w:val="15"/>
            <w:tabs>
              <w:tab w:val="right" w:leader="dot" w:pos="8306"/>
            </w:tabs>
          </w:pPr>
          <w:r>
            <w:rPr>
              <w:color w:val="auto"/>
            </w:rPr>
            <w:fldChar w:fldCharType="begin"/>
          </w:r>
          <w:r>
            <w:instrText xml:space="preserve"> HYPERLINK \l _Toc9552 </w:instrText>
          </w:r>
          <w:r>
            <w:fldChar w:fldCharType="separate"/>
          </w:r>
          <w:r>
            <w:rPr>
              <w:rFonts w:hint="eastAsia"/>
            </w:rPr>
            <w:t>2.6.3绿色建筑有待向高品质发展</w:t>
          </w:r>
          <w:r>
            <w:tab/>
          </w:r>
          <w:r>
            <w:fldChar w:fldCharType="begin"/>
          </w:r>
          <w:r>
            <w:instrText xml:space="preserve"> PAGEREF _Toc9552 \h </w:instrText>
          </w:r>
          <w:r>
            <w:fldChar w:fldCharType="separate"/>
          </w:r>
          <w:r>
            <w:t>21</w:t>
          </w:r>
          <w:r>
            <w:fldChar w:fldCharType="end"/>
          </w:r>
          <w:r>
            <w:rPr>
              <w:color w:val="auto"/>
            </w:rPr>
            <w:fldChar w:fldCharType="end"/>
          </w:r>
        </w:p>
        <w:p>
          <w:pPr>
            <w:pStyle w:val="15"/>
            <w:tabs>
              <w:tab w:val="right" w:leader="dot" w:pos="8306"/>
            </w:tabs>
          </w:pPr>
          <w:r>
            <w:rPr>
              <w:color w:val="auto"/>
            </w:rPr>
            <w:fldChar w:fldCharType="begin"/>
          </w:r>
          <w:r>
            <w:instrText xml:space="preserve"> HYPERLINK \l _Toc9773 </w:instrText>
          </w:r>
          <w:r>
            <w:fldChar w:fldCharType="separate"/>
          </w:r>
          <w:r>
            <w:rPr>
              <w:rFonts w:hint="eastAsia"/>
            </w:rPr>
            <w:t>2.6.4可再生能源建筑应用存在问题</w:t>
          </w:r>
          <w:r>
            <w:tab/>
          </w:r>
          <w:r>
            <w:fldChar w:fldCharType="begin"/>
          </w:r>
          <w:r>
            <w:instrText xml:space="preserve"> PAGEREF _Toc9773 \h </w:instrText>
          </w:r>
          <w:r>
            <w:fldChar w:fldCharType="separate"/>
          </w:r>
          <w:r>
            <w:t>22</w:t>
          </w:r>
          <w:r>
            <w:fldChar w:fldCharType="end"/>
          </w:r>
          <w:r>
            <w:rPr>
              <w:color w:val="auto"/>
            </w:rPr>
            <w:fldChar w:fldCharType="end"/>
          </w:r>
        </w:p>
        <w:p>
          <w:pPr>
            <w:pStyle w:val="15"/>
            <w:tabs>
              <w:tab w:val="right" w:leader="dot" w:pos="8306"/>
            </w:tabs>
          </w:pPr>
          <w:r>
            <w:rPr>
              <w:color w:val="auto"/>
            </w:rPr>
            <w:fldChar w:fldCharType="begin"/>
          </w:r>
          <w:r>
            <w:instrText xml:space="preserve"> HYPERLINK \l _Toc17683 </w:instrText>
          </w:r>
          <w:r>
            <w:fldChar w:fldCharType="separate"/>
          </w:r>
          <w:r>
            <w:rPr>
              <w:rFonts w:hint="eastAsia"/>
            </w:rPr>
            <w:t>2.6.5节能及绿建设计要求需进一步落实</w:t>
          </w:r>
          <w:r>
            <w:tab/>
          </w:r>
          <w:r>
            <w:fldChar w:fldCharType="begin"/>
          </w:r>
          <w:r>
            <w:instrText xml:space="preserve"> PAGEREF _Toc17683 \h </w:instrText>
          </w:r>
          <w:r>
            <w:fldChar w:fldCharType="separate"/>
          </w:r>
          <w:r>
            <w:t>22</w:t>
          </w:r>
          <w:r>
            <w:fldChar w:fldCharType="end"/>
          </w:r>
          <w:r>
            <w:rPr>
              <w:color w:val="auto"/>
            </w:rPr>
            <w:fldChar w:fldCharType="end"/>
          </w:r>
        </w:p>
        <w:p>
          <w:pPr>
            <w:pStyle w:val="15"/>
            <w:tabs>
              <w:tab w:val="right" w:leader="dot" w:pos="8306"/>
            </w:tabs>
          </w:pPr>
          <w:r>
            <w:rPr>
              <w:color w:val="auto"/>
            </w:rPr>
            <w:fldChar w:fldCharType="begin"/>
          </w:r>
          <w:r>
            <w:instrText xml:space="preserve"> HYPERLINK \l _Toc16988 </w:instrText>
          </w:r>
          <w:r>
            <w:fldChar w:fldCharType="separate"/>
          </w:r>
          <w:r>
            <w:rPr>
              <w:rFonts w:hint="eastAsia"/>
            </w:rPr>
            <w:t>2.6.6装配式建筑发展模式亟待研究</w:t>
          </w:r>
          <w:r>
            <w:tab/>
          </w:r>
          <w:r>
            <w:fldChar w:fldCharType="begin"/>
          </w:r>
          <w:r>
            <w:instrText xml:space="preserve"> PAGEREF _Toc16988 \h </w:instrText>
          </w:r>
          <w:r>
            <w:fldChar w:fldCharType="separate"/>
          </w:r>
          <w:r>
            <w:t>23</w:t>
          </w:r>
          <w:r>
            <w:fldChar w:fldCharType="end"/>
          </w:r>
          <w:r>
            <w:rPr>
              <w:color w:val="auto"/>
            </w:rPr>
            <w:fldChar w:fldCharType="end"/>
          </w:r>
        </w:p>
        <w:p>
          <w:pPr>
            <w:pStyle w:val="15"/>
            <w:tabs>
              <w:tab w:val="right" w:leader="dot" w:pos="8306"/>
            </w:tabs>
          </w:pPr>
          <w:r>
            <w:rPr>
              <w:color w:val="auto"/>
            </w:rPr>
            <w:fldChar w:fldCharType="begin"/>
          </w:r>
          <w:r>
            <w:instrText xml:space="preserve"> HYPERLINK \l _Toc16709 </w:instrText>
          </w:r>
          <w:r>
            <w:fldChar w:fldCharType="separate"/>
          </w:r>
          <w:r>
            <w:rPr>
              <w:rFonts w:hint="eastAsia"/>
            </w:rPr>
            <w:t>2.6.7节能宣传有待进一步推广</w:t>
          </w:r>
          <w:r>
            <w:tab/>
          </w:r>
          <w:r>
            <w:fldChar w:fldCharType="begin"/>
          </w:r>
          <w:r>
            <w:instrText xml:space="preserve"> PAGEREF _Toc16709 \h </w:instrText>
          </w:r>
          <w:r>
            <w:fldChar w:fldCharType="separate"/>
          </w:r>
          <w:r>
            <w:t>24</w:t>
          </w:r>
          <w:r>
            <w:fldChar w:fldCharType="end"/>
          </w:r>
          <w:r>
            <w:rPr>
              <w:color w:val="auto"/>
            </w:rPr>
            <w:fldChar w:fldCharType="end"/>
          </w:r>
        </w:p>
        <w:p>
          <w:pPr>
            <w:pStyle w:val="21"/>
            <w:tabs>
              <w:tab w:val="right" w:leader="dot" w:pos="8306"/>
            </w:tabs>
          </w:pPr>
          <w:r>
            <w:rPr>
              <w:color w:val="auto"/>
            </w:rPr>
            <w:fldChar w:fldCharType="begin"/>
          </w:r>
          <w:r>
            <w:instrText xml:space="preserve"> HYPERLINK \l _Toc4655 </w:instrText>
          </w:r>
          <w:r>
            <w:fldChar w:fldCharType="separate"/>
          </w:r>
          <w:r>
            <w:rPr>
              <w:rFonts w:hint="eastAsia"/>
            </w:rPr>
            <w:t>第三章 三亚市民用建筑区域节能目标及能耗指标评估</w:t>
          </w:r>
          <w:r>
            <w:tab/>
          </w:r>
          <w:r>
            <w:fldChar w:fldCharType="begin"/>
          </w:r>
          <w:r>
            <w:instrText xml:space="preserve"> PAGEREF _Toc4655 \h </w:instrText>
          </w:r>
          <w:r>
            <w:fldChar w:fldCharType="separate"/>
          </w:r>
          <w:r>
            <w:t>25</w:t>
          </w:r>
          <w:r>
            <w:fldChar w:fldCharType="end"/>
          </w:r>
          <w:r>
            <w:rPr>
              <w:color w:val="auto"/>
            </w:rPr>
            <w:fldChar w:fldCharType="end"/>
          </w:r>
        </w:p>
        <w:p>
          <w:pPr>
            <w:pStyle w:val="25"/>
            <w:tabs>
              <w:tab w:val="right" w:leader="dot" w:pos="8306"/>
            </w:tabs>
          </w:pPr>
          <w:r>
            <w:rPr>
              <w:color w:val="auto"/>
            </w:rPr>
            <w:fldChar w:fldCharType="begin"/>
          </w:r>
          <w:r>
            <w:instrText xml:space="preserve"> HYPERLINK \l _Toc24753 </w:instrText>
          </w:r>
          <w:r>
            <w:fldChar w:fldCharType="separate"/>
          </w:r>
          <w:r>
            <w:rPr>
              <w:rFonts w:hint="eastAsia"/>
            </w:rPr>
            <w:t>3.1民用建筑区域节能目标评估</w:t>
          </w:r>
          <w:r>
            <w:tab/>
          </w:r>
          <w:r>
            <w:fldChar w:fldCharType="begin"/>
          </w:r>
          <w:r>
            <w:instrText xml:space="preserve"> PAGEREF _Toc24753 \h </w:instrText>
          </w:r>
          <w:r>
            <w:fldChar w:fldCharType="separate"/>
          </w:r>
          <w:r>
            <w:t>25</w:t>
          </w:r>
          <w:r>
            <w:fldChar w:fldCharType="end"/>
          </w:r>
          <w:r>
            <w:rPr>
              <w:color w:val="auto"/>
            </w:rPr>
            <w:fldChar w:fldCharType="end"/>
          </w:r>
        </w:p>
        <w:p>
          <w:pPr>
            <w:pStyle w:val="15"/>
            <w:tabs>
              <w:tab w:val="right" w:leader="dot" w:pos="8306"/>
            </w:tabs>
          </w:pPr>
          <w:r>
            <w:rPr>
              <w:color w:val="auto"/>
            </w:rPr>
            <w:fldChar w:fldCharType="begin"/>
          </w:r>
          <w:r>
            <w:instrText xml:space="preserve"> HYPERLINK \l _Toc29400 </w:instrText>
          </w:r>
          <w:r>
            <w:fldChar w:fldCharType="separate"/>
          </w:r>
          <w:r>
            <w:rPr>
              <w:rFonts w:hint="eastAsia"/>
            </w:rPr>
            <w:t>3.1.1确定原则</w:t>
          </w:r>
          <w:r>
            <w:tab/>
          </w:r>
          <w:r>
            <w:fldChar w:fldCharType="begin"/>
          </w:r>
          <w:r>
            <w:instrText xml:space="preserve"> PAGEREF _Toc29400 \h </w:instrText>
          </w:r>
          <w:r>
            <w:fldChar w:fldCharType="separate"/>
          </w:r>
          <w:r>
            <w:t>25</w:t>
          </w:r>
          <w:r>
            <w:fldChar w:fldCharType="end"/>
          </w:r>
          <w:r>
            <w:rPr>
              <w:color w:val="auto"/>
            </w:rPr>
            <w:fldChar w:fldCharType="end"/>
          </w:r>
        </w:p>
        <w:p>
          <w:pPr>
            <w:pStyle w:val="15"/>
            <w:tabs>
              <w:tab w:val="right" w:leader="dot" w:pos="8306"/>
            </w:tabs>
          </w:pPr>
          <w:r>
            <w:rPr>
              <w:color w:val="auto"/>
            </w:rPr>
            <w:fldChar w:fldCharType="begin"/>
          </w:r>
          <w:r>
            <w:instrText xml:space="preserve"> HYPERLINK \l _Toc16144 </w:instrText>
          </w:r>
          <w:r>
            <w:fldChar w:fldCharType="separate"/>
          </w:r>
          <w:r>
            <w:t>3.1.2</w:t>
          </w:r>
          <w:r>
            <w:rPr>
              <w:rFonts w:hint="eastAsia"/>
            </w:rPr>
            <w:t>区域规划目标</w:t>
          </w:r>
          <w:r>
            <w:tab/>
          </w:r>
          <w:r>
            <w:fldChar w:fldCharType="begin"/>
          </w:r>
          <w:r>
            <w:instrText xml:space="preserve"> PAGEREF _Toc16144 \h </w:instrText>
          </w:r>
          <w:r>
            <w:fldChar w:fldCharType="separate"/>
          </w:r>
          <w:r>
            <w:t>25</w:t>
          </w:r>
          <w:r>
            <w:fldChar w:fldCharType="end"/>
          </w:r>
          <w:r>
            <w:rPr>
              <w:color w:val="auto"/>
            </w:rPr>
            <w:fldChar w:fldCharType="end"/>
          </w:r>
        </w:p>
        <w:p>
          <w:pPr>
            <w:pStyle w:val="15"/>
            <w:tabs>
              <w:tab w:val="right" w:leader="dot" w:pos="8306"/>
            </w:tabs>
          </w:pPr>
          <w:r>
            <w:rPr>
              <w:color w:val="auto"/>
            </w:rPr>
            <w:fldChar w:fldCharType="begin"/>
          </w:r>
          <w:r>
            <w:instrText xml:space="preserve"> HYPERLINK \l _Toc8013 </w:instrText>
          </w:r>
          <w:r>
            <w:fldChar w:fldCharType="separate"/>
          </w:r>
          <w:r>
            <w:t>3.1.</w:t>
          </w:r>
          <w:r>
            <w:rPr>
              <w:rFonts w:hint="eastAsia"/>
            </w:rPr>
            <w:t>3区域指标完成情况分析</w:t>
          </w:r>
          <w:r>
            <w:tab/>
          </w:r>
          <w:r>
            <w:fldChar w:fldCharType="begin"/>
          </w:r>
          <w:r>
            <w:instrText xml:space="preserve"> PAGEREF _Toc8013 \h </w:instrText>
          </w:r>
          <w:r>
            <w:fldChar w:fldCharType="separate"/>
          </w:r>
          <w:r>
            <w:t>29</w:t>
          </w:r>
          <w:r>
            <w:fldChar w:fldCharType="end"/>
          </w:r>
          <w:r>
            <w:rPr>
              <w:color w:val="auto"/>
            </w:rPr>
            <w:fldChar w:fldCharType="end"/>
          </w:r>
        </w:p>
        <w:p>
          <w:pPr>
            <w:pStyle w:val="25"/>
            <w:tabs>
              <w:tab w:val="right" w:leader="dot" w:pos="8306"/>
            </w:tabs>
          </w:pPr>
          <w:r>
            <w:rPr>
              <w:color w:val="auto"/>
            </w:rPr>
            <w:fldChar w:fldCharType="begin"/>
          </w:r>
          <w:r>
            <w:instrText xml:space="preserve"> HYPERLINK \l _Toc2329 </w:instrText>
          </w:r>
          <w:r>
            <w:fldChar w:fldCharType="separate"/>
          </w:r>
          <w:r>
            <w:t>3.</w:t>
          </w:r>
          <w:r>
            <w:rPr>
              <w:rFonts w:hint="eastAsia"/>
            </w:rPr>
            <w:t>2民用建筑能耗分析及能耗</w:t>
          </w:r>
          <w:r>
            <w:t>指标评估</w:t>
          </w:r>
          <w:r>
            <w:tab/>
          </w:r>
          <w:r>
            <w:fldChar w:fldCharType="begin"/>
          </w:r>
          <w:r>
            <w:instrText xml:space="preserve"> PAGEREF _Toc2329 \h </w:instrText>
          </w:r>
          <w:r>
            <w:fldChar w:fldCharType="separate"/>
          </w:r>
          <w:r>
            <w:t>32</w:t>
          </w:r>
          <w:r>
            <w:fldChar w:fldCharType="end"/>
          </w:r>
          <w:r>
            <w:rPr>
              <w:color w:val="auto"/>
            </w:rPr>
            <w:fldChar w:fldCharType="end"/>
          </w:r>
        </w:p>
        <w:p>
          <w:pPr>
            <w:pStyle w:val="15"/>
            <w:tabs>
              <w:tab w:val="right" w:leader="dot" w:pos="8306"/>
            </w:tabs>
          </w:pPr>
          <w:r>
            <w:rPr>
              <w:color w:val="auto"/>
            </w:rPr>
            <w:fldChar w:fldCharType="begin"/>
          </w:r>
          <w:r>
            <w:instrText xml:space="preserve"> HYPERLINK \l _Toc24733 </w:instrText>
          </w:r>
          <w:r>
            <w:fldChar w:fldCharType="separate"/>
          </w:r>
          <w:r>
            <w:rPr>
              <w:rFonts w:hint="eastAsia"/>
            </w:rPr>
            <w:t>3.2.1公建</w:t>
          </w:r>
          <w:r>
            <w:tab/>
          </w:r>
          <w:r>
            <w:fldChar w:fldCharType="begin"/>
          </w:r>
          <w:r>
            <w:instrText xml:space="preserve"> PAGEREF _Toc24733 \h </w:instrText>
          </w:r>
          <w:r>
            <w:fldChar w:fldCharType="separate"/>
          </w:r>
          <w:r>
            <w:t>32</w:t>
          </w:r>
          <w:r>
            <w:fldChar w:fldCharType="end"/>
          </w:r>
          <w:r>
            <w:rPr>
              <w:color w:val="auto"/>
            </w:rPr>
            <w:fldChar w:fldCharType="end"/>
          </w:r>
        </w:p>
        <w:p>
          <w:pPr>
            <w:pStyle w:val="15"/>
            <w:tabs>
              <w:tab w:val="right" w:leader="dot" w:pos="8306"/>
            </w:tabs>
          </w:pPr>
          <w:r>
            <w:rPr>
              <w:color w:val="auto"/>
            </w:rPr>
            <w:fldChar w:fldCharType="begin"/>
          </w:r>
          <w:r>
            <w:instrText xml:space="preserve"> HYPERLINK \l _Toc15879 </w:instrText>
          </w:r>
          <w:r>
            <w:fldChar w:fldCharType="separate"/>
          </w:r>
          <w:r>
            <w:rPr>
              <w:rFonts w:hint="eastAsia"/>
            </w:rPr>
            <w:t>3.2.2住宅</w:t>
          </w:r>
          <w:r>
            <w:tab/>
          </w:r>
          <w:r>
            <w:fldChar w:fldCharType="begin"/>
          </w:r>
          <w:r>
            <w:instrText xml:space="preserve"> PAGEREF _Toc15879 \h </w:instrText>
          </w:r>
          <w:r>
            <w:fldChar w:fldCharType="separate"/>
          </w:r>
          <w:r>
            <w:t>36</w:t>
          </w:r>
          <w:r>
            <w:fldChar w:fldCharType="end"/>
          </w:r>
          <w:r>
            <w:rPr>
              <w:color w:val="auto"/>
            </w:rPr>
            <w:fldChar w:fldCharType="end"/>
          </w:r>
        </w:p>
        <w:p>
          <w:pPr>
            <w:pStyle w:val="21"/>
            <w:tabs>
              <w:tab w:val="right" w:leader="dot" w:pos="8306"/>
            </w:tabs>
          </w:pPr>
          <w:r>
            <w:rPr>
              <w:color w:val="auto"/>
            </w:rPr>
            <w:fldChar w:fldCharType="begin"/>
          </w:r>
          <w:r>
            <w:instrText xml:space="preserve"> HYPERLINK \l _Toc20953 </w:instrText>
          </w:r>
          <w:r>
            <w:fldChar w:fldCharType="separate"/>
          </w:r>
          <w:r>
            <w:rPr>
              <w:rFonts w:hint="eastAsia"/>
            </w:rPr>
            <w:t>第四章 节能措施分析</w:t>
          </w:r>
          <w:r>
            <w:tab/>
          </w:r>
          <w:r>
            <w:fldChar w:fldCharType="begin"/>
          </w:r>
          <w:r>
            <w:instrText xml:space="preserve"> PAGEREF _Toc20953 \h </w:instrText>
          </w:r>
          <w:r>
            <w:fldChar w:fldCharType="separate"/>
          </w:r>
          <w:r>
            <w:t>38</w:t>
          </w:r>
          <w:r>
            <w:fldChar w:fldCharType="end"/>
          </w:r>
          <w:r>
            <w:rPr>
              <w:color w:val="auto"/>
            </w:rPr>
            <w:fldChar w:fldCharType="end"/>
          </w:r>
        </w:p>
        <w:p>
          <w:pPr>
            <w:pStyle w:val="25"/>
            <w:tabs>
              <w:tab w:val="right" w:leader="dot" w:pos="8306"/>
            </w:tabs>
          </w:pPr>
          <w:r>
            <w:rPr>
              <w:color w:val="auto"/>
            </w:rPr>
            <w:fldChar w:fldCharType="begin"/>
          </w:r>
          <w:r>
            <w:instrText xml:space="preserve"> HYPERLINK \l _Toc19044 </w:instrText>
          </w:r>
          <w:r>
            <w:fldChar w:fldCharType="separate"/>
          </w:r>
          <w:r>
            <w:rPr>
              <w:rFonts w:hint="eastAsia"/>
            </w:rPr>
            <w:t>4.1建筑用能特点分析</w:t>
          </w:r>
          <w:r>
            <w:tab/>
          </w:r>
          <w:r>
            <w:fldChar w:fldCharType="begin"/>
          </w:r>
          <w:r>
            <w:instrText xml:space="preserve"> PAGEREF _Toc19044 \h </w:instrText>
          </w:r>
          <w:r>
            <w:fldChar w:fldCharType="separate"/>
          </w:r>
          <w:r>
            <w:t>38</w:t>
          </w:r>
          <w:r>
            <w:fldChar w:fldCharType="end"/>
          </w:r>
          <w:r>
            <w:rPr>
              <w:color w:val="auto"/>
            </w:rPr>
            <w:fldChar w:fldCharType="end"/>
          </w:r>
        </w:p>
        <w:p>
          <w:pPr>
            <w:pStyle w:val="25"/>
            <w:tabs>
              <w:tab w:val="right" w:leader="dot" w:pos="8306"/>
            </w:tabs>
          </w:pPr>
          <w:r>
            <w:rPr>
              <w:color w:val="auto"/>
            </w:rPr>
            <w:fldChar w:fldCharType="begin"/>
          </w:r>
          <w:r>
            <w:instrText xml:space="preserve"> HYPERLINK \l _Toc23605 </w:instrText>
          </w:r>
          <w:r>
            <w:fldChar w:fldCharType="separate"/>
          </w:r>
          <w:r>
            <w:rPr>
              <w:rFonts w:hint="eastAsia"/>
            </w:rPr>
            <w:t>4</w:t>
          </w:r>
          <w:r>
            <w:t>.2</w:t>
          </w:r>
          <w:r>
            <w:rPr>
              <w:rFonts w:hint="eastAsia"/>
            </w:rPr>
            <w:t>新建建筑节能技术措施</w:t>
          </w:r>
          <w:r>
            <w:tab/>
          </w:r>
          <w:r>
            <w:fldChar w:fldCharType="begin"/>
          </w:r>
          <w:r>
            <w:instrText xml:space="preserve"> PAGEREF _Toc23605 \h </w:instrText>
          </w:r>
          <w:r>
            <w:fldChar w:fldCharType="separate"/>
          </w:r>
          <w:r>
            <w:t>41</w:t>
          </w:r>
          <w:r>
            <w:fldChar w:fldCharType="end"/>
          </w:r>
          <w:r>
            <w:rPr>
              <w:color w:val="auto"/>
            </w:rPr>
            <w:fldChar w:fldCharType="end"/>
          </w:r>
        </w:p>
        <w:p>
          <w:pPr>
            <w:pStyle w:val="15"/>
            <w:tabs>
              <w:tab w:val="right" w:leader="dot" w:pos="8306"/>
            </w:tabs>
          </w:pPr>
          <w:r>
            <w:rPr>
              <w:color w:val="auto"/>
            </w:rPr>
            <w:fldChar w:fldCharType="begin"/>
          </w:r>
          <w:r>
            <w:instrText xml:space="preserve"> HYPERLINK \l _Toc11800 </w:instrText>
          </w:r>
          <w:r>
            <w:fldChar w:fldCharType="separate"/>
          </w:r>
          <w:r>
            <w:rPr>
              <w:rFonts w:hint="eastAsia"/>
            </w:rPr>
            <w:t>4</w:t>
          </w:r>
          <w:r>
            <w:t>.2.1总平面</w:t>
          </w:r>
          <w:r>
            <w:tab/>
          </w:r>
          <w:r>
            <w:fldChar w:fldCharType="begin"/>
          </w:r>
          <w:r>
            <w:instrText xml:space="preserve"> PAGEREF _Toc11800 \h </w:instrText>
          </w:r>
          <w:r>
            <w:fldChar w:fldCharType="separate"/>
          </w:r>
          <w:r>
            <w:t>42</w:t>
          </w:r>
          <w:r>
            <w:fldChar w:fldCharType="end"/>
          </w:r>
          <w:r>
            <w:rPr>
              <w:color w:val="auto"/>
            </w:rPr>
            <w:fldChar w:fldCharType="end"/>
          </w:r>
        </w:p>
        <w:p>
          <w:pPr>
            <w:pStyle w:val="15"/>
            <w:tabs>
              <w:tab w:val="right" w:leader="dot" w:pos="8306"/>
            </w:tabs>
          </w:pPr>
          <w:r>
            <w:rPr>
              <w:color w:val="auto"/>
            </w:rPr>
            <w:fldChar w:fldCharType="begin"/>
          </w:r>
          <w:r>
            <w:instrText xml:space="preserve"> HYPERLINK \l _Toc30039 </w:instrText>
          </w:r>
          <w:r>
            <w:fldChar w:fldCharType="separate"/>
          </w:r>
          <w:r>
            <w:rPr>
              <w:rFonts w:hint="eastAsia"/>
            </w:rPr>
            <w:t>4</w:t>
          </w:r>
          <w:r>
            <w:t>.2.2建筑围护结构的热工性能</w:t>
          </w:r>
          <w:r>
            <w:tab/>
          </w:r>
          <w:r>
            <w:fldChar w:fldCharType="begin"/>
          </w:r>
          <w:r>
            <w:instrText xml:space="preserve"> PAGEREF _Toc30039 \h </w:instrText>
          </w:r>
          <w:r>
            <w:fldChar w:fldCharType="separate"/>
          </w:r>
          <w:r>
            <w:t>42</w:t>
          </w:r>
          <w:r>
            <w:fldChar w:fldCharType="end"/>
          </w:r>
          <w:r>
            <w:rPr>
              <w:color w:val="auto"/>
            </w:rPr>
            <w:fldChar w:fldCharType="end"/>
          </w:r>
        </w:p>
        <w:p>
          <w:pPr>
            <w:pStyle w:val="15"/>
            <w:tabs>
              <w:tab w:val="right" w:leader="dot" w:pos="8306"/>
            </w:tabs>
          </w:pPr>
          <w:r>
            <w:rPr>
              <w:color w:val="auto"/>
            </w:rPr>
            <w:fldChar w:fldCharType="begin"/>
          </w:r>
          <w:r>
            <w:instrText xml:space="preserve"> HYPERLINK \l _Toc12307 </w:instrText>
          </w:r>
          <w:r>
            <w:fldChar w:fldCharType="separate"/>
          </w:r>
          <w:r>
            <w:rPr>
              <w:rFonts w:hint="eastAsia"/>
            </w:rPr>
            <w:t>4</w:t>
          </w:r>
          <w:r>
            <w:t>.2.3</w:t>
          </w:r>
          <w:r>
            <w:rPr>
              <w:rFonts w:hint="eastAsia"/>
            </w:rPr>
            <w:t>节水措施</w:t>
          </w:r>
          <w:r>
            <w:tab/>
          </w:r>
          <w:r>
            <w:fldChar w:fldCharType="begin"/>
          </w:r>
          <w:r>
            <w:instrText xml:space="preserve"> PAGEREF _Toc12307 \h </w:instrText>
          </w:r>
          <w:r>
            <w:fldChar w:fldCharType="separate"/>
          </w:r>
          <w:r>
            <w:t>44</w:t>
          </w:r>
          <w:r>
            <w:fldChar w:fldCharType="end"/>
          </w:r>
          <w:r>
            <w:rPr>
              <w:color w:val="auto"/>
            </w:rPr>
            <w:fldChar w:fldCharType="end"/>
          </w:r>
        </w:p>
        <w:p>
          <w:pPr>
            <w:pStyle w:val="15"/>
            <w:tabs>
              <w:tab w:val="right" w:leader="dot" w:pos="8306"/>
            </w:tabs>
          </w:pPr>
          <w:r>
            <w:rPr>
              <w:color w:val="auto"/>
            </w:rPr>
            <w:fldChar w:fldCharType="begin"/>
          </w:r>
          <w:r>
            <w:instrText xml:space="preserve"> HYPERLINK \l _Toc14567 </w:instrText>
          </w:r>
          <w:r>
            <w:fldChar w:fldCharType="separate"/>
          </w:r>
          <w:r>
            <w:rPr>
              <w:rFonts w:hint="eastAsia"/>
            </w:rPr>
            <w:t>4</w:t>
          </w:r>
          <w:r>
            <w:t>.2.4</w:t>
          </w:r>
          <w:r>
            <w:rPr>
              <w:rFonts w:hint="eastAsia"/>
            </w:rPr>
            <w:t>节电措施</w:t>
          </w:r>
          <w:r>
            <w:tab/>
          </w:r>
          <w:r>
            <w:fldChar w:fldCharType="begin"/>
          </w:r>
          <w:r>
            <w:instrText xml:space="preserve"> PAGEREF _Toc14567 \h </w:instrText>
          </w:r>
          <w:r>
            <w:fldChar w:fldCharType="separate"/>
          </w:r>
          <w:r>
            <w:t>45</w:t>
          </w:r>
          <w:r>
            <w:fldChar w:fldCharType="end"/>
          </w:r>
          <w:r>
            <w:rPr>
              <w:color w:val="auto"/>
            </w:rPr>
            <w:fldChar w:fldCharType="end"/>
          </w:r>
        </w:p>
        <w:p>
          <w:pPr>
            <w:pStyle w:val="15"/>
            <w:tabs>
              <w:tab w:val="right" w:leader="dot" w:pos="8306"/>
            </w:tabs>
          </w:pPr>
          <w:r>
            <w:rPr>
              <w:color w:val="auto"/>
            </w:rPr>
            <w:fldChar w:fldCharType="begin"/>
          </w:r>
          <w:r>
            <w:instrText xml:space="preserve"> HYPERLINK \l _Toc29696 </w:instrText>
          </w:r>
          <w:r>
            <w:fldChar w:fldCharType="separate"/>
          </w:r>
          <w:r>
            <w:rPr>
              <w:rFonts w:hint="eastAsia"/>
            </w:rPr>
            <w:t>4</w:t>
          </w:r>
          <w:r>
            <w:t>.2.5</w:t>
          </w:r>
          <w:r>
            <w:rPr>
              <w:rFonts w:hint="eastAsia"/>
            </w:rPr>
            <w:t>暖通节能</w:t>
          </w:r>
          <w:r>
            <w:tab/>
          </w:r>
          <w:r>
            <w:fldChar w:fldCharType="begin"/>
          </w:r>
          <w:r>
            <w:instrText xml:space="preserve"> PAGEREF _Toc29696 \h </w:instrText>
          </w:r>
          <w:r>
            <w:fldChar w:fldCharType="separate"/>
          </w:r>
          <w:r>
            <w:t>47</w:t>
          </w:r>
          <w:r>
            <w:fldChar w:fldCharType="end"/>
          </w:r>
          <w:r>
            <w:rPr>
              <w:color w:val="auto"/>
            </w:rPr>
            <w:fldChar w:fldCharType="end"/>
          </w:r>
        </w:p>
        <w:p>
          <w:pPr>
            <w:pStyle w:val="25"/>
            <w:tabs>
              <w:tab w:val="right" w:leader="dot" w:pos="8306"/>
            </w:tabs>
          </w:pPr>
          <w:r>
            <w:rPr>
              <w:color w:val="auto"/>
            </w:rPr>
            <w:fldChar w:fldCharType="begin"/>
          </w:r>
          <w:r>
            <w:instrText xml:space="preserve"> HYPERLINK \l _Toc32738 </w:instrText>
          </w:r>
          <w:r>
            <w:fldChar w:fldCharType="separate"/>
          </w:r>
          <w:r>
            <w:rPr>
              <w:rFonts w:hint="eastAsia"/>
            </w:rPr>
            <w:t>4.3既有建筑节能改造措施</w:t>
          </w:r>
          <w:r>
            <w:tab/>
          </w:r>
          <w:r>
            <w:fldChar w:fldCharType="begin"/>
          </w:r>
          <w:r>
            <w:instrText xml:space="preserve"> PAGEREF _Toc32738 \h </w:instrText>
          </w:r>
          <w:r>
            <w:fldChar w:fldCharType="separate"/>
          </w:r>
          <w:r>
            <w:t>47</w:t>
          </w:r>
          <w:r>
            <w:fldChar w:fldCharType="end"/>
          </w:r>
          <w:r>
            <w:rPr>
              <w:color w:val="auto"/>
            </w:rPr>
            <w:fldChar w:fldCharType="end"/>
          </w:r>
        </w:p>
        <w:p>
          <w:pPr>
            <w:pStyle w:val="15"/>
            <w:tabs>
              <w:tab w:val="right" w:leader="dot" w:pos="8306"/>
            </w:tabs>
          </w:pPr>
          <w:r>
            <w:rPr>
              <w:color w:val="auto"/>
            </w:rPr>
            <w:fldChar w:fldCharType="begin"/>
          </w:r>
          <w:r>
            <w:instrText xml:space="preserve"> HYPERLINK \l _Toc10987 </w:instrText>
          </w:r>
          <w:r>
            <w:fldChar w:fldCharType="separate"/>
          </w:r>
          <w:r>
            <w:rPr>
              <w:rFonts w:hint="eastAsia"/>
            </w:rPr>
            <w:t>4.3.1外围护结构的节能改造措施</w:t>
          </w:r>
          <w:r>
            <w:tab/>
          </w:r>
          <w:r>
            <w:fldChar w:fldCharType="begin"/>
          </w:r>
          <w:r>
            <w:instrText xml:space="preserve"> PAGEREF _Toc10987 \h </w:instrText>
          </w:r>
          <w:r>
            <w:fldChar w:fldCharType="separate"/>
          </w:r>
          <w:r>
            <w:t>47</w:t>
          </w:r>
          <w:r>
            <w:fldChar w:fldCharType="end"/>
          </w:r>
          <w:r>
            <w:rPr>
              <w:color w:val="auto"/>
            </w:rPr>
            <w:fldChar w:fldCharType="end"/>
          </w:r>
        </w:p>
        <w:p>
          <w:pPr>
            <w:pStyle w:val="15"/>
            <w:tabs>
              <w:tab w:val="right" w:leader="dot" w:pos="8306"/>
            </w:tabs>
          </w:pPr>
          <w:r>
            <w:rPr>
              <w:color w:val="auto"/>
            </w:rPr>
            <w:fldChar w:fldCharType="begin"/>
          </w:r>
          <w:r>
            <w:instrText xml:space="preserve"> HYPERLINK \l _Toc27449 </w:instrText>
          </w:r>
          <w:r>
            <w:fldChar w:fldCharType="separate"/>
          </w:r>
          <w:r>
            <w:rPr>
              <w:rFonts w:hint="eastAsia"/>
            </w:rPr>
            <w:t>4.3.2空调系统的节能改造措施</w:t>
          </w:r>
          <w:r>
            <w:tab/>
          </w:r>
          <w:r>
            <w:fldChar w:fldCharType="begin"/>
          </w:r>
          <w:r>
            <w:instrText xml:space="preserve"> PAGEREF _Toc27449 \h </w:instrText>
          </w:r>
          <w:r>
            <w:fldChar w:fldCharType="separate"/>
          </w:r>
          <w:r>
            <w:t>48</w:t>
          </w:r>
          <w:r>
            <w:fldChar w:fldCharType="end"/>
          </w:r>
          <w:r>
            <w:rPr>
              <w:color w:val="auto"/>
            </w:rPr>
            <w:fldChar w:fldCharType="end"/>
          </w:r>
        </w:p>
        <w:p>
          <w:pPr>
            <w:pStyle w:val="15"/>
            <w:tabs>
              <w:tab w:val="right" w:leader="dot" w:pos="8306"/>
            </w:tabs>
          </w:pPr>
          <w:r>
            <w:rPr>
              <w:color w:val="auto"/>
            </w:rPr>
            <w:fldChar w:fldCharType="begin"/>
          </w:r>
          <w:r>
            <w:instrText xml:space="preserve"> HYPERLINK \l _Toc7614 </w:instrText>
          </w:r>
          <w:r>
            <w:fldChar w:fldCharType="separate"/>
          </w:r>
          <w:r>
            <w:rPr>
              <w:rFonts w:hint="eastAsia"/>
            </w:rPr>
            <w:t>4.3.3照明系统的节能改造措施</w:t>
          </w:r>
          <w:r>
            <w:tab/>
          </w:r>
          <w:r>
            <w:fldChar w:fldCharType="begin"/>
          </w:r>
          <w:r>
            <w:instrText xml:space="preserve"> PAGEREF _Toc7614 \h </w:instrText>
          </w:r>
          <w:r>
            <w:fldChar w:fldCharType="separate"/>
          </w:r>
          <w:r>
            <w:t>49</w:t>
          </w:r>
          <w:r>
            <w:fldChar w:fldCharType="end"/>
          </w:r>
          <w:r>
            <w:rPr>
              <w:color w:val="auto"/>
            </w:rPr>
            <w:fldChar w:fldCharType="end"/>
          </w:r>
        </w:p>
        <w:p>
          <w:pPr>
            <w:pStyle w:val="15"/>
            <w:tabs>
              <w:tab w:val="right" w:leader="dot" w:pos="8306"/>
            </w:tabs>
          </w:pPr>
          <w:r>
            <w:rPr>
              <w:color w:val="auto"/>
            </w:rPr>
            <w:fldChar w:fldCharType="begin"/>
          </w:r>
          <w:r>
            <w:instrText xml:space="preserve"> HYPERLINK \l _Toc17611 </w:instrText>
          </w:r>
          <w:r>
            <w:fldChar w:fldCharType="separate"/>
          </w:r>
          <w:r>
            <w:rPr>
              <w:rFonts w:hint="eastAsia"/>
            </w:rPr>
            <w:t>4.3.4动力系统的节能改造措施</w:t>
          </w:r>
          <w:r>
            <w:tab/>
          </w:r>
          <w:r>
            <w:fldChar w:fldCharType="begin"/>
          </w:r>
          <w:r>
            <w:instrText xml:space="preserve"> PAGEREF _Toc17611 \h </w:instrText>
          </w:r>
          <w:r>
            <w:fldChar w:fldCharType="separate"/>
          </w:r>
          <w:r>
            <w:t>49</w:t>
          </w:r>
          <w:r>
            <w:fldChar w:fldCharType="end"/>
          </w:r>
          <w:r>
            <w:rPr>
              <w:color w:val="auto"/>
            </w:rPr>
            <w:fldChar w:fldCharType="end"/>
          </w:r>
        </w:p>
        <w:p>
          <w:pPr>
            <w:pStyle w:val="15"/>
            <w:tabs>
              <w:tab w:val="right" w:leader="dot" w:pos="8306"/>
            </w:tabs>
          </w:pPr>
          <w:r>
            <w:rPr>
              <w:color w:val="auto"/>
            </w:rPr>
            <w:fldChar w:fldCharType="begin"/>
          </w:r>
          <w:r>
            <w:instrText xml:space="preserve"> HYPERLINK \l _Toc2307 </w:instrText>
          </w:r>
          <w:r>
            <w:fldChar w:fldCharType="separate"/>
          </w:r>
          <w:r>
            <w:rPr>
              <w:rFonts w:hint="eastAsia"/>
            </w:rPr>
            <w:t>4.3.5给排水系统的节能改造措施</w:t>
          </w:r>
          <w:r>
            <w:tab/>
          </w:r>
          <w:r>
            <w:fldChar w:fldCharType="begin"/>
          </w:r>
          <w:r>
            <w:instrText xml:space="preserve"> PAGEREF _Toc2307 \h </w:instrText>
          </w:r>
          <w:r>
            <w:fldChar w:fldCharType="separate"/>
          </w:r>
          <w:r>
            <w:t>50</w:t>
          </w:r>
          <w:r>
            <w:fldChar w:fldCharType="end"/>
          </w:r>
          <w:r>
            <w:rPr>
              <w:color w:val="auto"/>
            </w:rPr>
            <w:fldChar w:fldCharType="end"/>
          </w:r>
        </w:p>
        <w:p>
          <w:pPr>
            <w:pStyle w:val="15"/>
            <w:tabs>
              <w:tab w:val="right" w:leader="dot" w:pos="8306"/>
            </w:tabs>
          </w:pPr>
          <w:r>
            <w:rPr>
              <w:color w:val="auto"/>
            </w:rPr>
            <w:fldChar w:fldCharType="begin"/>
          </w:r>
          <w:r>
            <w:instrText xml:space="preserve"> HYPERLINK \l _Toc28852 </w:instrText>
          </w:r>
          <w:r>
            <w:fldChar w:fldCharType="separate"/>
          </w:r>
          <w:r>
            <w:rPr>
              <w:rFonts w:hint="eastAsia"/>
            </w:rPr>
            <w:t>4.3.6绿色能源的利用</w:t>
          </w:r>
          <w:r>
            <w:tab/>
          </w:r>
          <w:r>
            <w:fldChar w:fldCharType="begin"/>
          </w:r>
          <w:r>
            <w:instrText xml:space="preserve"> PAGEREF _Toc28852 \h </w:instrText>
          </w:r>
          <w:r>
            <w:fldChar w:fldCharType="separate"/>
          </w:r>
          <w:r>
            <w:t>50</w:t>
          </w:r>
          <w:r>
            <w:fldChar w:fldCharType="end"/>
          </w:r>
          <w:r>
            <w:rPr>
              <w:color w:val="auto"/>
            </w:rPr>
            <w:fldChar w:fldCharType="end"/>
          </w:r>
        </w:p>
        <w:p>
          <w:pPr>
            <w:pStyle w:val="25"/>
            <w:tabs>
              <w:tab w:val="right" w:leader="dot" w:pos="8306"/>
            </w:tabs>
          </w:pPr>
          <w:r>
            <w:rPr>
              <w:color w:val="auto"/>
            </w:rPr>
            <w:fldChar w:fldCharType="begin"/>
          </w:r>
          <w:r>
            <w:instrText xml:space="preserve"> HYPERLINK \l _Toc15176 </w:instrText>
          </w:r>
          <w:r>
            <w:fldChar w:fldCharType="separate"/>
          </w:r>
          <w:r>
            <w:rPr>
              <w:rFonts w:hint="eastAsia"/>
            </w:rPr>
            <w:t>4</w:t>
          </w:r>
          <w:r>
            <w:t>.4</w:t>
          </w:r>
          <w:r>
            <w:rPr>
              <w:rFonts w:hint="eastAsia"/>
            </w:rPr>
            <w:t>绿建措施</w:t>
          </w:r>
          <w:r>
            <w:tab/>
          </w:r>
          <w:r>
            <w:fldChar w:fldCharType="begin"/>
          </w:r>
          <w:r>
            <w:instrText xml:space="preserve"> PAGEREF _Toc15176 \h </w:instrText>
          </w:r>
          <w:r>
            <w:fldChar w:fldCharType="separate"/>
          </w:r>
          <w:r>
            <w:t>51</w:t>
          </w:r>
          <w:r>
            <w:fldChar w:fldCharType="end"/>
          </w:r>
          <w:r>
            <w:rPr>
              <w:color w:val="auto"/>
            </w:rPr>
            <w:fldChar w:fldCharType="end"/>
          </w:r>
        </w:p>
        <w:p>
          <w:pPr>
            <w:pStyle w:val="15"/>
            <w:tabs>
              <w:tab w:val="right" w:leader="dot" w:pos="8306"/>
            </w:tabs>
          </w:pPr>
          <w:r>
            <w:rPr>
              <w:color w:val="auto"/>
            </w:rPr>
            <w:fldChar w:fldCharType="begin"/>
          </w:r>
          <w:r>
            <w:instrText xml:space="preserve"> HYPERLINK \l _Toc14980 </w:instrText>
          </w:r>
          <w:r>
            <w:fldChar w:fldCharType="separate"/>
          </w:r>
          <w:r>
            <w:rPr>
              <w:rFonts w:hint="eastAsia"/>
            </w:rPr>
            <w:t>4</w:t>
          </w:r>
          <w:r>
            <w:t>.4.1</w:t>
          </w:r>
          <w:r>
            <w:rPr>
              <w:rFonts w:hint="eastAsia"/>
            </w:rPr>
            <w:t>建筑专业</w:t>
          </w:r>
          <w:r>
            <w:tab/>
          </w:r>
          <w:r>
            <w:fldChar w:fldCharType="begin"/>
          </w:r>
          <w:r>
            <w:instrText xml:space="preserve"> PAGEREF _Toc14980 \h </w:instrText>
          </w:r>
          <w:r>
            <w:fldChar w:fldCharType="separate"/>
          </w:r>
          <w:r>
            <w:t>51</w:t>
          </w:r>
          <w:r>
            <w:fldChar w:fldCharType="end"/>
          </w:r>
          <w:r>
            <w:rPr>
              <w:color w:val="auto"/>
            </w:rPr>
            <w:fldChar w:fldCharType="end"/>
          </w:r>
        </w:p>
        <w:p>
          <w:pPr>
            <w:pStyle w:val="15"/>
            <w:tabs>
              <w:tab w:val="right" w:leader="dot" w:pos="8306"/>
            </w:tabs>
          </w:pPr>
          <w:r>
            <w:rPr>
              <w:color w:val="auto"/>
            </w:rPr>
            <w:fldChar w:fldCharType="begin"/>
          </w:r>
          <w:r>
            <w:instrText xml:space="preserve"> HYPERLINK \l _Toc13339 </w:instrText>
          </w:r>
          <w:r>
            <w:fldChar w:fldCharType="separate"/>
          </w:r>
          <w:r>
            <w:rPr>
              <w:rFonts w:hint="eastAsia"/>
            </w:rPr>
            <w:t>4</w:t>
          </w:r>
          <w:r>
            <w:t>.4.2</w:t>
          </w:r>
          <w:r>
            <w:rPr>
              <w:rFonts w:hint="eastAsia"/>
            </w:rPr>
            <w:t>结构专业</w:t>
          </w:r>
          <w:r>
            <w:tab/>
          </w:r>
          <w:r>
            <w:fldChar w:fldCharType="begin"/>
          </w:r>
          <w:r>
            <w:instrText xml:space="preserve"> PAGEREF _Toc13339 \h </w:instrText>
          </w:r>
          <w:r>
            <w:fldChar w:fldCharType="separate"/>
          </w:r>
          <w:r>
            <w:t>53</w:t>
          </w:r>
          <w:r>
            <w:fldChar w:fldCharType="end"/>
          </w:r>
          <w:r>
            <w:rPr>
              <w:color w:val="auto"/>
            </w:rPr>
            <w:fldChar w:fldCharType="end"/>
          </w:r>
        </w:p>
        <w:p>
          <w:pPr>
            <w:pStyle w:val="15"/>
            <w:tabs>
              <w:tab w:val="right" w:leader="dot" w:pos="8306"/>
            </w:tabs>
          </w:pPr>
          <w:r>
            <w:rPr>
              <w:color w:val="auto"/>
            </w:rPr>
            <w:fldChar w:fldCharType="begin"/>
          </w:r>
          <w:r>
            <w:instrText xml:space="preserve"> HYPERLINK \l _Toc25831 </w:instrText>
          </w:r>
          <w:r>
            <w:fldChar w:fldCharType="separate"/>
          </w:r>
          <w:r>
            <w:rPr>
              <w:rFonts w:hint="eastAsia"/>
            </w:rPr>
            <w:t>4</w:t>
          </w:r>
          <w:r>
            <w:t>.4.3</w:t>
          </w:r>
          <w:r>
            <w:rPr>
              <w:rFonts w:hint="eastAsia"/>
            </w:rPr>
            <w:t>给排水专业</w:t>
          </w:r>
          <w:r>
            <w:tab/>
          </w:r>
          <w:r>
            <w:fldChar w:fldCharType="begin"/>
          </w:r>
          <w:r>
            <w:instrText xml:space="preserve"> PAGEREF _Toc25831 \h </w:instrText>
          </w:r>
          <w:r>
            <w:fldChar w:fldCharType="separate"/>
          </w:r>
          <w:r>
            <w:t>54</w:t>
          </w:r>
          <w:r>
            <w:fldChar w:fldCharType="end"/>
          </w:r>
          <w:r>
            <w:rPr>
              <w:color w:val="auto"/>
            </w:rPr>
            <w:fldChar w:fldCharType="end"/>
          </w:r>
        </w:p>
        <w:p>
          <w:pPr>
            <w:pStyle w:val="15"/>
            <w:tabs>
              <w:tab w:val="right" w:leader="dot" w:pos="8306"/>
            </w:tabs>
          </w:pPr>
          <w:r>
            <w:rPr>
              <w:color w:val="auto"/>
            </w:rPr>
            <w:fldChar w:fldCharType="begin"/>
          </w:r>
          <w:r>
            <w:instrText xml:space="preserve"> HYPERLINK \l _Toc12156 </w:instrText>
          </w:r>
          <w:r>
            <w:fldChar w:fldCharType="separate"/>
          </w:r>
          <w:r>
            <w:rPr>
              <w:rFonts w:hint="eastAsia"/>
            </w:rPr>
            <w:t>4</w:t>
          </w:r>
          <w:r>
            <w:t>.4.4</w:t>
          </w:r>
          <w:r>
            <w:rPr>
              <w:rFonts w:hint="eastAsia"/>
            </w:rPr>
            <w:t>电气专业</w:t>
          </w:r>
          <w:r>
            <w:tab/>
          </w:r>
          <w:r>
            <w:fldChar w:fldCharType="begin"/>
          </w:r>
          <w:r>
            <w:instrText xml:space="preserve"> PAGEREF _Toc12156 \h </w:instrText>
          </w:r>
          <w:r>
            <w:fldChar w:fldCharType="separate"/>
          </w:r>
          <w:r>
            <w:t>55</w:t>
          </w:r>
          <w:r>
            <w:fldChar w:fldCharType="end"/>
          </w:r>
          <w:r>
            <w:rPr>
              <w:color w:val="auto"/>
            </w:rPr>
            <w:fldChar w:fldCharType="end"/>
          </w:r>
        </w:p>
        <w:p>
          <w:pPr>
            <w:pStyle w:val="15"/>
            <w:tabs>
              <w:tab w:val="right" w:leader="dot" w:pos="8306"/>
            </w:tabs>
          </w:pPr>
          <w:r>
            <w:rPr>
              <w:color w:val="auto"/>
            </w:rPr>
            <w:fldChar w:fldCharType="begin"/>
          </w:r>
          <w:r>
            <w:instrText xml:space="preserve"> HYPERLINK \l _Toc22460 </w:instrText>
          </w:r>
          <w:r>
            <w:fldChar w:fldCharType="separate"/>
          </w:r>
          <w:r>
            <w:rPr>
              <w:rFonts w:hint="eastAsia"/>
            </w:rPr>
            <w:t>4</w:t>
          </w:r>
          <w:r>
            <w:t>.4.5</w:t>
          </w:r>
          <w:r>
            <w:rPr>
              <w:rFonts w:hint="eastAsia"/>
            </w:rPr>
            <w:t>暖通专业</w:t>
          </w:r>
          <w:r>
            <w:tab/>
          </w:r>
          <w:r>
            <w:fldChar w:fldCharType="begin"/>
          </w:r>
          <w:r>
            <w:instrText xml:space="preserve"> PAGEREF _Toc22460 \h </w:instrText>
          </w:r>
          <w:r>
            <w:fldChar w:fldCharType="separate"/>
          </w:r>
          <w:r>
            <w:t>56</w:t>
          </w:r>
          <w:r>
            <w:fldChar w:fldCharType="end"/>
          </w:r>
          <w:r>
            <w:rPr>
              <w:color w:val="auto"/>
            </w:rPr>
            <w:fldChar w:fldCharType="end"/>
          </w:r>
        </w:p>
        <w:p>
          <w:pPr>
            <w:pStyle w:val="25"/>
            <w:tabs>
              <w:tab w:val="right" w:leader="dot" w:pos="8306"/>
            </w:tabs>
          </w:pPr>
          <w:r>
            <w:rPr>
              <w:color w:val="auto"/>
            </w:rPr>
            <w:fldChar w:fldCharType="begin"/>
          </w:r>
          <w:r>
            <w:instrText xml:space="preserve"> HYPERLINK \l _Toc10799 </w:instrText>
          </w:r>
          <w:r>
            <w:fldChar w:fldCharType="separate"/>
          </w:r>
          <w:r>
            <w:rPr>
              <w:rFonts w:hint="eastAsia"/>
            </w:rPr>
            <w:t>4.</w:t>
          </w:r>
          <w:r>
            <w:t>5</w:t>
          </w:r>
          <w:r>
            <w:rPr>
              <w:rFonts w:hint="eastAsia"/>
            </w:rPr>
            <w:t xml:space="preserve"> 装配式建筑技术措施</w:t>
          </w:r>
          <w:r>
            <w:tab/>
          </w:r>
          <w:r>
            <w:fldChar w:fldCharType="begin"/>
          </w:r>
          <w:r>
            <w:instrText xml:space="preserve"> PAGEREF _Toc10799 \h </w:instrText>
          </w:r>
          <w:r>
            <w:fldChar w:fldCharType="separate"/>
          </w:r>
          <w:r>
            <w:t>57</w:t>
          </w:r>
          <w:r>
            <w:fldChar w:fldCharType="end"/>
          </w:r>
          <w:r>
            <w:rPr>
              <w:color w:val="auto"/>
            </w:rPr>
            <w:fldChar w:fldCharType="end"/>
          </w:r>
        </w:p>
        <w:p>
          <w:pPr>
            <w:pStyle w:val="21"/>
            <w:tabs>
              <w:tab w:val="right" w:leader="dot" w:pos="8306"/>
            </w:tabs>
          </w:pPr>
          <w:r>
            <w:rPr>
              <w:color w:val="auto"/>
            </w:rPr>
            <w:fldChar w:fldCharType="begin"/>
          </w:r>
          <w:r>
            <w:instrText xml:space="preserve"> HYPERLINK \l _Toc3417 </w:instrText>
          </w:r>
          <w:r>
            <w:fldChar w:fldCharType="separate"/>
          </w:r>
          <w:r>
            <w:t>第</w:t>
          </w:r>
          <w:r>
            <w:rPr>
              <w:rFonts w:hint="eastAsia"/>
            </w:rPr>
            <w:t>五</w:t>
          </w:r>
          <w:r>
            <w:t>章</w:t>
          </w:r>
          <w:r>
            <w:rPr>
              <w:rFonts w:hint="eastAsia"/>
            </w:rPr>
            <w:t xml:space="preserve"> 区域建筑节能管控措施</w:t>
          </w:r>
          <w:r>
            <w:tab/>
          </w:r>
          <w:r>
            <w:fldChar w:fldCharType="begin"/>
          </w:r>
          <w:r>
            <w:instrText xml:space="preserve"> PAGEREF _Toc3417 \h </w:instrText>
          </w:r>
          <w:r>
            <w:fldChar w:fldCharType="separate"/>
          </w:r>
          <w:r>
            <w:t>59</w:t>
          </w:r>
          <w:r>
            <w:fldChar w:fldCharType="end"/>
          </w:r>
          <w:r>
            <w:rPr>
              <w:color w:val="auto"/>
            </w:rPr>
            <w:fldChar w:fldCharType="end"/>
          </w:r>
        </w:p>
        <w:p>
          <w:pPr>
            <w:pStyle w:val="25"/>
            <w:tabs>
              <w:tab w:val="right" w:leader="dot" w:pos="8306"/>
            </w:tabs>
          </w:pPr>
          <w:r>
            <w:rPr>
              <w:color w:val="auto"/>
            </w:rPr>
            <w:fldChar w:fldCharType="begin"/>
          </w:r>
          <w:r>
            <w:instrText xml:space="preserve"> HYPERLINK \l _Toc19404 </w:instrText>
          </w:r>
          <w:r>
            <w:fldChar w:fldCharType="separate"/>
          </w:r>
          <w:r>
            <w:rPr>
              <w:rFonts w:hint="eastAsia"/>
            </w:rPr>
            <w:t>5.</w:t>
          </w:r>
          <w:r>
            <w:t>1</w:t>
          </w:r>
          <w:r>
            <w:rPr>
              <w:rFonts w:hint="eastAsia"/>
            </w:rPr>
            <w:t>落实区域规划节能措施</w:t>
          </w:r>
          <w:r>
            <w:tab/>
          </w:r>
          <w:r>
            <w:fldChar w:fldCharType="begin"/>
          </w:r>
          <w:r>
            <w:instrText xml:space="preserve"> PAGEREF _Toc19404 \h </w:instrText>
          </w:r>
          <w:r>
            <w:fldChar w:fldCharType="separate"/>
          </w:r>
          <w:r>
            <w:t>59</w:t>
          </w:r>
          <w:r>
            <w:fldChar w:fldCharType="end"/>
          </w:r>
          <w:r>
            <w:rPr>
              <w:color w:val="auto"/>
            </w:rPr>
            <w:fldChar w:fldCharType="end"/>
          </w:r>
        </w:p>
        <w:p>
          <w:pPr>
            <w:pStyle w:val="25"/>
            <w:tabs>
              <w:tab w:val="right" w:leader="dot" w:pos="8306"/>
            </w:tabs>
          </w:pPr>
          <w:r>
            <w:rPr>
              <w:color w:val="auto"/>
            </w:rPr>
            <w:fldChar w:fldCharType="begin"/>
          </w:r>
          <w:r>
            <w:instrText xml:space="preserve"> HYPERLINK \l _Toc25676 </w:instrText>
          </w:r>
          <w:r>
            <w:fldChar w:fldCharType="separate"/>
          </w:r>
          <w:r>
            <w:rPr>
              <w:rFonts w:hint="eastAsia"/>
            </w:rPr>
            <w:t>5.2推进新建建筑节能与能效提升</w:t>
          </w:r>
          <w:r>
            <w:tab/>
          </w:r>
          <w:r>
            <w:fldChar w:fldCharType="begin"/>
          </w:r>
          <w:r>
            <w:instrText xml:space="preserve"> PAGEREF _Toc25676 \h </w:instrText>
          </w:r>
          <w:r>
            <w:fldChar w:fldCharType="separate"/>
          </w:r>
          <w:r>
            <w:t>60</w:t>
          </w:r>
          <w:r>
            <w:fldChar w:fldCharType="end"/>
          </w:r>
          <w:r>
            <w:rPr>
              <w:color w:val="auto"/>
            </w:rPr>
            <w:fldChar w:fldCharType="end"/>
          </w:r>
        </w:p>
        <w:p>
          <w:pPr>
            <w:pStyle w:val="25"/>
            <w:tabs>
              <w:tab w:val="right" w:leader="dot" w:pos="8306"/>
            </w:tabs>
          </w:pPr>
          <w:r>
            <w:rPr>
              <w:color w:val="auto"/>
            </w:rPr>
            <w:fldChar w:fldCharType="begin"/>
          </w:r>
          <w:r>
            <w:instrText xml:space="preserve"> HYPERLINK \l _Toc14517 </w:instrText>
          </w:r>
          <w:r>
            <w:fldChar w:fldCharType="separate"/>
          </w:r>
          <w:r>
            <w:rPr>
              <w:rFonts w:hint="eastAsia"/>
            </w:rPr>
            <w:t>5.3 提出</w:t>
          </w:r>
          <w:r>
            <w:t>三亚</w:t>
          </w:r>
          <w:r>
            <w:rPr>
              <w:rFonts w:hint="eastAsia"/>
            </w:rPr>
            <w:t>民用建筑能耗指标</w:t>
          </w:r>
          <w:r>
            <w:tab/>
          </w:r>
          <w:r>
            <w:fldChar w:fldCharType="begin"/>
          </w:r>
          <w:r>
            <w:instrText xml:space="preserve"> PAGEREF _Toc14517 \h </w:instrText>
          </w:r>
          <w:r>
            <w:fldChar w:fldCharType="separate"/>
          </w:r>
          <w:r>
            <w:t>61</w:t>
          </w:r>
          <w:r>
            <w:fldChar w:fldCharType="end"/>
          </w:r>
          <w:r>
            <w:rPr>
              <w:color w:val="auto"/>
            </w:rPr>
            <w:fldChar w:fldCharType="end"/>
          </w:r>
        </w:p>
        <w:p>
          <w:pPr>
            <w:pStyle w:val="25"/>
            <w:tabs>
              <w:tab w:val="right" w:leader="dot" w:pos="8306"/>
            </w:tabs>
          </w:pPr>
          <w:r>
            <w:rPr>
              <w:color w:val="auto"/>
            </w:rPr>
            <w:fldChar w:fldCharType="begin"/>
          </w:r>
          <w:r>
            <w:instrText xml:space="preserve"> HYPERLINK \l _Toc21871 </w:instrText>
          </w:r>
          <w:r>
            <w:fldChar w:fldCharType="separate"/>
          </w:r>
          <w:r>
            <w:rPr>
              <w:rFonts w:hint="eastAsia"/>
            </w:rPr>
            <w:t>5.4 推进绿色建筑与</w:t>
          </w:r>
          <w:r>
            <w:t>绿色</w:t>
          </w:r>
          <w:r>
            <w:rPr>
              <w:rFonts w:hint="eastAsia"/>
            </w:rPr>
            <w:t>生态</w:t>
          </w:r>
          <w:r>
            <w:t>片区</w:t>
          </w:r>
          <w:r>
            <w:rPr>
              <w:rFonts w:hint="eastAsia"/>
            </w:rPr>
            <w:t>发展</w:t>
          </w:r>
          <w:r>
            <w:tab/>
          </w:r>
          <w:r>
            <w:fldChar w:fldCharType="begin"/>
          </w:r>
          <w:r>
            <w:instrText xml:space="preserve"> PAGEREF _Toc21871 \h </w:instrText>
          </w:r>
          <w:r>
            <w:fldChar w:fldCharType="separate"/>
          </w:r>
          <w:r>
            <w:t>61</w:t>
          </w:r>
          <w:r>
            <w:fldChar w:fldCharType="end"/>
          </w:r>
          <w:r>
            <w:rPr>
              <w:color w:val="auto"/>
            </w:rPr>
            <w:fldChar w:fldCharType="end"/>
          </w:r>
        </w:p>
        <w:p>
          <w:pPr>
            <w:pStyle w:val="15"/>
            <w:tabs>
              <w:tab w:val="right" w:leader="dot" w:pos="8306"/>
            </w:tabs>
          </w:pPr>
          <w:r>
            <w:rPr>
              <w:color w:val="auto"/>
            </w:rPr>
            <w:fldChar w:fldCharType="begin"/>
          </w:r>
          <w:r>
            <w:instrText xml:space="preserve"> HYPERLINK \l _Toc5714 </w:instrText>
          </w:r>
          <w:r>
            <w:fldChar w:fldCharType="separate"/>
          </w:r>
          <w:r>
            <w:rPr>
              <w:rFonts w:hint="eastAsia"/>
            </w:rPr>
            <w:t>5.4.1继续执行强制性规定要求</w:t>
          </w:r>
          <w:r>
            <w:tab/>
          </w:r>
          <w:r>
            <w:fldChar w:fldCharType="begin"/>
          </w:r>
          <w:r>
            <w:instrText xml:space="preserve"> PAGEREF _Toc5714 \h </w:instrText>
          </w:r>
          <w:r>
            <w:fldChar w:fldCharType="separate"/>
          </w:r>
          <w:r>
            <w:t>61</w:t>
          </w:r>
          <w:r>
            <w:fldChar w:fldCharType="end"/>
          </w:r>
          <w:r>
            <w:rPr>
              <w:color w:val="auto"/>
            </w:rPr>
            <w:fldChar w:fldCharType="end"/>
          </w:r>
        </w:p>
        <w:p>
          <w:pPr>
            <w:pStyle w:val="15"/>
            <w:tabs>
              <w:tab w:val="right" w:leader="dot" w:pos="8306"/>
            </w:tabs>
          </w:pPr>
          <w:r>
            <w:rPr>
              <w:color w:val="auto"/>
            </w:rPr>
            <w:fldChar w:fldCharType="begin"/>
          </w:r>
          <w:r>
            <w:instrText xml:space="preserve"> HYPERLINK \l _Toc8099 </w:instrText>
          </w:r>
          <w:r>
            <w:fldChar w:fldCharType="separate"/>
          </w:r>
          <w:r>
            <w:rPr>
              <w:rFonts w:hint="eastAsia"/>
            </w:rPr>
            <w:t>5.4.2拓展绿色建筑实施广度深度</w:t>
          </w:r>
          <w:r>
            <w:tab/>
          </w:r>
          <w:r>
            <w:fldChar w:fldCharType="begin"/>
          </w:r>
          <w:r>
            <w:instrText xml:space="preserve"> PAGEREF _Toc8099 \h </w:instrText>
          </w:r>
          <w:r>
            <w:fldChar w:fldCharType="separate"/>
          </w:r>
          <w:r>
            <w:t>63</w:t>
          </w:r>
          <w:r>
            <w:fldChar w:fldCharType="end"/>
          </w:r>
          <w:r>
            <w:rPr>
              <w:color w:val="auto"/>
            </w:rPr>
            <w:fldChar w:fldCharType="end"/>
          </w:r>
        </w:p>
        <w:p>
          <w:pPr>
            <w:pStyle w:val="15"/>
            <w:tabs>
              <w:tab w:val="right" w:leader="dot" w:pos="8306"/>
            </w:tabs>
          </w:pPr>
          <w:r>
            <w:rPr>
              <w:color w:val="auto"/>
            </w:rPr>
            <w:fldChar w:fldCharType="begin"/>
          </w:r>
          <w:r>
            <w:instrText xml:space="preserve"> HYPERLINK \l _Toc11319 </w:instrText>
          </w:r>
          <w:r>
            <w:fldChar w:fldCharType="separate"/>
          </w:r>
          <w:r>
            <w:rPr>
              <w:rFonts w:hint="eastAsia"/>
            </w:rPr>
            <w:t>5.4.3</w:t>
          </w:r>
          <w:r>
            <w:t>积极推进绿色</w:t>
          </w:r>
          <w:r>
            <w:rPr>
              <w:rFonts w:hint="eastAsia"/>
            </w:rPr>
            <w:t>生态片区</w:t>
          </w:r>
          <w:r>
            <w:t>建设</w:t>
          </w:r>
          <w:r>
            <w:tab/>
          </w:r>
          <w:r>
            <w:fldChar w:fldCharType="begin"/>
          </w:r>
          <w:r>
            <w:instrText xml:space="preserve"> PAGEREF _Toc11319 \h </w:instrText>
          </w:r>
          <w:r>
            <w:fldChar w:fldCharType="separate"/>
          </w:r>
          <w:r>
            <w:t>63</w:t>
          </w:r>
          <w:r>
            <w:fldChar w:fldCharType="end"/>
          </w:r>
          <w:r>
            <w:rPr>
              <w:color w:val="auto"/>
            </w:rPr>
            <w:fldChar w:fldCharType="end"/>
          </w:r>
        </w:p>
        <w:p>
          <w:pPr>
            <w:pStyle w:val="15"/>
            <w:tabs>
              <w:tab w:val="right" w:leader="dot" w:pos="8306"/>
            </w:tabs>
          </w:pPr>
          <w:r>
            <w:rPr>
              <w:color w:val="auto"/>
            </w:rPr>
            <w:fldChar w:fldCharType="begin"/>
          </w:r>
          <w:r>
            <w:instrText xml:space="preserve"> HYPERLINK \l _Toc10132 </w:instrText>
          </w:r>
          <w:r>
            <w:fldChar w:fldCharType="separate"/>
          </w:r>
          <w:r>
            <w:rPr>
              <w:rFonts w:hint="eastAsia"/>
            </w:rPr>
            <w:t>5.4.4积极推进装配式建筑建设</w:t>
          </w:r>
          <w:r>
            <w:tab/>
          </w:r>
          <w:r>
            <w:fldChar w:fldCharType="begin"/>
          </w:r>
          <w:r>
            <w:instrText xml:space="preserve"> PAGEREF _Toc10132 \h </w:instrText>
          </w:r>
          <w:r>
            <w:fldChar w:fldCharType="separate"/>
          </w:r>
          <w:r>
            <w:t>64</w:t>
          </w:r>
          <w:r>
            <w:fldChar w:fldCharType="end"/>
          </w:r>
          <w:r>
            <w:rPr>
              <w:color w:val="auto"/>
            </w:rPr>
            <w:fldChar w:fldCharType="end"/>
          </w:r>
        </w:p>
        <w:p>
          <w:pPr>
            <w:pStyle w:val="15"/>
            <w:tabs>
              <w:tab w:val="right" w:leader="dot" w:pos="8306"/>
            </w:tabs>
          </w:pPr>
          <w:r>
            <w:rPr>
              <w:color w:val="auto"/>
            </w:rPr>
            <w:fldChar w:fldCharType="begin"/>
          </w:r>
          <w:r>
            <w:instrText xml:space="preserve"> HYPERLINK \l _Toc16923 </w:instrText>
          </w:r>
          <w:r>
            <w:fldChar w:fldCharType="separate"/>
          </w:r>
          <w:r>
            <w:t>5.</w:t>
          </w:r>
          <w:r>
            <w:rPr>
              <w:rFonts w:hint="eastAsia"/>
            </w:rPr>
            <w:t>4.5</w:t>
          </w:r>
          <w:r>
            <w:t>绿色建材推广应用</w:t>
          </w:r>
          <w:r>
            <w:tab/>
          </w:r>
          <w:r>
            <w:fldChar w:fldCharType="begin"/>
          </w:r>
          <w:r>
            <w:instrText xml:space="preserve"> PAGEREF _Toc16923 \h </w:instrText>
          </w:r>
          <w:r>
            <w:fldChar w:fldCharType="separate"/>
          </w:r>
          <w:r>
            <w:t>64</w:t>
          </w:r>
          <w:r>
            <w:fldChar w:fldCharType="end"/>
          </w:r>
          <w:r>
            <w:rPr>
              <w:color w:val="auto"/>
            </w:rPr>
            <w:fldChar w:fldCharType="end"/>
          </w:r>
        </w:p>
        <w:p>
          <w:pPr>
            <w:pStyle w:val="15"/>
            <w:tabs>
              <w:tab w:val="right" w:leader="dot" w:pos="8306"/>
            </w:tabs>
          </w:pPr>
          <w:r>
            <w:rPr>
              <w:color w:val="auto"/>
            </w:rPr>
            <w:fldChar w:fldCharType="begin"/>
          </w:r>
          <w:r>
            <w:instrText xml:space="preserve"> HYPERLINK \l _Toc15580 </w:instrText>
          </w:r>
          <w:r>
            <w:fldChar w:fldCharType="separate"/>
          </w:r>
          <w:r>
            <w:rPr>
              <w:rFonts w:hint="eastAsia"/>
            </w:rPr>
            <w:t>5.4.6推进建筑信息化发展</w:t>
          </w:r>
          <w:r>
            <w:tab/>
          </w:r>
          <w:r>
            <w:fldChar w:fldCharType="begin"/>
          </w:r>
          <w:r>
            <w:instrText xml:space="preserve"> PAGEREF _Toc15580 \h </w:instrText>
          </w:r>
          <w:r>
            <w:fldChar w:fldCharType="separate"/>
          </w:r>
          <w:r>
            <w:t>64</w:t>
          </w:r>
          <w:r>
            <w:fldChar w:fldCharType="end"/>
          </w:r>
          <w:r>
            <w:rPr>
              <w:color w:val="auto"/>
            </w:rPr>
            <w:fldChar w:fldCharType="end"/>
          </w:r>
        </w:p>
        <w:p>
          <w:pPr>
            <w:pStyle w:val="25"/>
            <w:tabs>
              <w:tab w:val="right" w:leader="dot" w:pos="8306"/>
            </w:tabs>
          </w:pPr>
          <w:r>
            <w:rPr>
              <w:color w:val="auto"/>
            </w:rPr>
            <w:fldChar w:fldCharType="begin"/>
          </w:r>
          <w:r>
            <w:instrText xml:space="preserve"> HYPERLINK \l _Toc23820 </w:instrText>
          </w:r>
          <w:r>
            <w:fldChar w:fldCharType="separate"/>
          </w:r>
          <w:r>
            <w:rPr>
              <w:rFonts w:hint="eastAsia"/>
            </w:rPr>
            <w:t>5.5</w:t>
          </w:r>
          <w:r>
            <w:t>推动节能运行管理</w:t>
          </w:r>
          <w:r>
            <w:tab/>
          </w:r>
          <w:r>
            <w:fldChar w:fldCharType="begin"/>
          </w:r>
          <w:r>
            <w:instrText xml:space="preserve"> PAGEREF _Toc23820 \h </w:instrText>
          </w:r>
          <w:r>
            <w:fldChar w:fldCharType="separate"/>
          </w:r>
          <w:r>
            <w:t>65</w:t>
          </w:r>
          <w:r>
            <w:fldChar w:fldCharType="end"/>
          </w:r>
          <w:r>
            <w:rPr>
              <w:color w:val="auto"/>
            </w:rPr>
            <w:fldChar w:fldCharType="end"/>
          </w:r>
        </w:p>
        <w:p>
          <w:pPr>
            <w:pStyle w:val="15"/>
            <w:tabs>
              <w:tab w:val="right" w:leader="dot" w:pos="8306"/>
            </w:tabs>
          </w:pPr>
          <w:r>
            <w:rPr>
              <w:color w:val="auto"/>
            </w:rPr>
            <w:fldChar w:fldCharType="begin"/>
          </w:r>
          <w:r>
            <w:instrText xml:space="preserve"> HYPERLINK \l _Toc15577 </w:instrText>
          </w:r>
          <w:r>
            <w:fldChar w:fldCharType="separate"/>
          </w:r>
          <w:r>
            <w:rPr>
              <w:rFonts w:hint="eastAsia"/>
            </w:rPr>
            <w:t>5.5.1完善能耗监测平台</w:t>
          </w:r>
          <w:r>
            <w:tab/>
          </w:r>
          <w:r>
            <w:fldChar w:fldCharType="begin"/>
          </w:r>
          <w:r>
            <w:instrText xml:space="preserve"> PAGEREF _Toc15577 \h </w:instrText>
          </w:r>
          <w:r>
            <w:fldChar w:fldCharType="separate"/>
          </w:r>
          <w:r>
            <w:t>65</w:t>
          </w:r>
          <w:r>
            <w:fldChar w:fldCharType="end"/>
          </w:r>
          <w:r>
            <w:rPr>
              <w:color w:val="auto"/>
            </w:rPr>
            <w:fldChar w:fldCharType="end"/>
          </w:r>
        </w:p>
        <w:p>
          <w:pPr>
            <w:pStyle w:val="15"/>
            <w:tabs>
              <w:tab w:val="right" w:leader="dot" w:pos="8306"/>
            </w:tabs>
          </w:pPr>
          <w:r>
            <w:rPr>
              <w:color w:val="auto"/>
            </w:rPr>
            <w:fldChar w:fldCharType="begin"/>
          </w:r>
          <w:r>
            <w:instrText xml:space="preserve"> HYPERLINK \l _Toc18247 </w:instrText>
          </w:r>
          <w:r>
            <w:fldChar w:fldCharType="separate"/>
          </w:r>
          <w:r>
            <w:rPr>
              <w:rFonts w:hint="eastAsia"/>
            </w:rPr>
            <w:t>5.5.2</w:t>
          </w:r>
          <w:r>
            <w:t>加快既有建筑节能改造</w:t>
          </w:r>
          <w:r>
            <w:tab/>
          </w:r>
          <w:r>
            <w:fldChar w:fldCharType="begin"/>
          </w:r>
          <w:r>
            <w:instrText xml:space="preserve"> PAGEREF _Toc18247 \h </w:instrText>
          </w:r>
          <w:r>
            <w:fldChar w:fldCharType="separate"/>
          </w:r>
          <w:r>
            <w:t>65</w:t>
          </w:r>
          <w:r>
            <w:fldChar w:fldCharType="end"/>
          </w:r>
          <w:r>
            <w:rPr>
              <w:color w:val="auto"/>
            </w:rPr>
            <w:fldChar w:fldCharType="end"/>
          </w:r>
        </w:p>
        <w:p>
          <w:pPr>
            <w:pStyle w:val="15"/>
            <w:tabs>
              <w:tab w:val="right" w:leader="dot" w:pos="8306"/>
            </w:tabs>
          </w:pPr>
          <w:r>
            <w:rPr>
              <w:color w:val="auto"/>
            </w:rPr>
            <w:fldChar w:fldCharType="begin"/>
          </w:r>
          <w:r>
            <w:instrText xml:space="preserve"> HYPERLINK \l _Toc10668 </w:instrText>
          </w:r>
          <w:r>
            <w:fldChar w:fldCharType="separate"/>
          </w:r>
          <w:r>
            <w:rPr>
              <w:rFonts w:hint="eastAsia"/>
            </w:rPr>
            <w:t>5.5.3</w:t>
          </w:r>
          <w:r>
            <w:t>推动</w:t>
          </w:r>
          <w:r>
            <w:rPr>
              <w:rFonts w:hint="eastAsia"/>
            </w:rPr>
            <w:t>小区绿色化改造示范</w:t>
          </w:r>
          <w:r>
            <w:tab/>
          </w:r>
          <w:r>
            <w:fldChar w:fldCharType="begin"/>
          </w:r>
          <w:r>
            <w:instrText xml:space="preserve"> PAGEREF _Toc10668 \h </w:instrText>
          </w:r>
          <w:r>
            <w:fldChar w:fldCharType="separate"/>
          </w:r>
          <w:r>
            <w:t>65</w:t>
          </w:r>
          <w:r>
            <w:fldChar w:fldCharType="end"/>
          </w:r>
          <w:r>
            <w:rPr>
              <w:color w:val="auto"/>
            </w:rPr>
            <w:fldChar w:fldCharType="end"/>
          </w:r>
        </w:p>
        <w:p>
          <w:pPr>
            <w:pStyle w:val="25"/>
            <w:tabs>
              <w:tab w:val="right" w:leader="dot" w:pos="8306"/>
            </w:tabs>
          </w:pPr>
          <w:r>
            <w:rPr>
              <w:color w:val="auto"/>
            </w:rPr>
            <w:fldChar w:fldCharType="begin"/>
          </w:r>
          <w:r>
            <w:instrText xml:space="preserve"> HYPERLINK \l _Toc16354 </w:instrText>
          </w:r>
          <w:r>
            <w:fldChar w:fldCharType="separate"/>
          </w:r>
          <w:r>
            <w:rPr>
              <w:rFonts w:hint="eastAsia"/>
            </w:rPr>
            <w:t>5.6推广可再生能源应用</w:t>
          </w:r>
          <w:r>
            <w:tab/>
          </w:r>
          <w:r>
            <w:fldChar w:fldCharType="begin"/>
          </w:r>
          <w:r>
            <w:instrText xml:space="preserve"> PAGEREF _Toc16354 \h </w:instrText>
          </w:r>
          <w:r>
            <w:fldChar w:fldCharType="separate"/>
          </w:r>
          <w:r>
            <w:t>66</w:t>
          </w:r>
          <w:r>
            <w:fldChar w:fldCharType="end"/>
          </w:r>
          <w:r>
            <w:rPr>
              <w:color w:val="auto"/>
            </w:rPr>
            <w:fldChar w:fldCharType="end"/>
          </w:r>
        </w:p>
        <w:p>
          <w:pPr>
            <w:pStyle w:val="15"/>
            <w:tabs>
              <w:tab w:val="right" w:leader="dot" w:pos="8306"/>
            </w:tabs>
          </w:pPr>
          <w:r>
            <w:rPr>
              <w:color w:val="auto"/>
            </w:rPr>
            <w:fldChar w:fldCharType="begin"/>
          </w:r>
          <w:r>
            <w:instrText xml:space="preserve"> HYPERLINK \l _Toc15805 </w:instrText>
          </w:r>
          <w:r>
            <w:fldChar w:fldCharType="separate"/>
          </w:r>
          <w:r>
            <w:rPr>
              <w:rFonts w:hint="eastAsia"/>
            </w:rPr>
            <w:t xml:space="preserve">5.6.1 </w:t>
          </w:r>
          <w:r>
            <w:t>继续发展太阳能</w:t>
          </w:r>
          <w:r>
            <w:rPr>
              <w:rFonts w:hint="eastAsia"/>
            </w:rPr>
            <w:t>热水建筑应用</w:t>
          </w:r>
          <w:r>
            <w:t>工程</w:t>
          </w:r>
          <w:r>
            <w:tab/>
          </w:r>
          <w:r>
            <w:fldChar w:fldCharType="begin"/>
          </w:r>
          <w:r>
            <w:instrText xml:space="preserve"> PAGEREF _Toc15805 \h </w:instrText>
          </w:r>
          <w:r>
            <w:fldChar w:fldCharType="separate"/>
          </w:r>
          <w:r>
            <w:t>66</w:t>
          </w:r>
          <w:r>
            <w:fldChar w:fldCharType="end"/>
          </w:r>
          <w:r>
            <w:rPr>
              <w:color w:val="auto"/>
            </w:rPr>
            <w:fldChar w:fldCharType="end"/>
          </w:r>
        </w:p>
        <w:p>
          <w:pPr>
            <w:pStyle w:val="15"/>
            <w:tabs>
              <w:tab w:val="right" w:leader="dot" w:pos="8306"/>
            </w:tabs>
          </w:pPr>
          <w:r>
            <w:rPr>
              <w:color w:val="auto"/>
            </w:rPr>
            <w:fldChar w:fldCharType="begin"/>
          </w:r>
          <w:r>
            <w:instrText xml:space="preserve"> HYPERLINK \l _Toc22695 </w:instrText>
          </w:r>
          <w:r>
            <w:fldChar w:fldCharType="separate"/>
          </w:r>
          <w:r>
            <w:rPr>
              <w:rFonts w:hint="eastAsia"/>
            </w:rPr>
            <w:t>5.6.2</w:t>
          </w:r>
          <w:r>
            <w:t>大力推进</w:t>
          </w:r>
          <w:r>
            <w:rPr>
              <w:rFonts w:hint="eastAsia"/>
            </w:rPr>
            <w:t>太阳能</w:t>
          </w:r>
          <w:r>
            <w:t>光伏</w:t>
          </w:r>
          <w:r>
            <w:rPr>
              <w:rFonts w:hint="eastAsia"/>
            </w:rPr>
            <w:t>建筑一体化工程</w:t>
          </w:r>
          <w:r>
            <w:tab/>
          </w:r>
          <w:r>
            <w:fldChar w:fldCharType="begin"/>
          </w:r>
          <w:r>
            <w:instrText xml:space="preserve"> PAGEREF _Toc22695 \h </w:instrText>
          </w:r>
          <w:r>
            <w:fldChar w:fldCharType="separate"/>
          </w:r>
          <w:r>
            <w:t>66</w:t>
          </w:r>
          <w:r>
            <w:fldChar w:fldCharType="end"/>
          </w:r>
          <w:r>
            <w:rPr>
              <w:color w:val="auto"/>
            </w:rPr>
            <w:fldChar w:fldCharType="end"/>
          </w:r>
        </w:p>
        <w:p>
          <w:pPr>
            <w:pStyle w:val="15"/>
            <w:tabs>
              <w:tab w:val="right" w:leader="dot" w:pos="8306"/>
            </w:tabs>
          </w:pPr>
          <w:r>
            <w:rPr>
              <w:color w:val="auto"/>
            </w:rPr>
            <w:fldChar w:fldCharType="begin"/>
          </w:r>
          <w:r>
            <w:instrText xml:space="preserve"> HYPERLINK \l _Toc2218 </w:instrText>
          </w:r>
          <w:r>
            <w:fldChar w:fldCharType="separate"/>
          </w:r>
          <w:r>
            <w:rPr>
              <w:rFonts w:hint="eastAsia"/>
            </w:rPr>
            <w:t>5.6.3可再生能源应用</w:t>
          </w:r>
          <w:r>
            <w:tab/>
          </w:r>
          <w:r>
            <w:fldChar w:fldCharType="begin"/>
          </w:r>
          <w:r>
            <w:instrText xml:space="preserve"> PAGEREF _Toc2218 \h </w:instrText>
          </w:r>
          <w:r>
            <w:fldChar w:fldCharType="separate"/>
          </w:r>
          <w:r>
            <w:t>67</w:t>
          </w:r>
          <w:r>
            <w:fldChar w:fldCharType="end"/>
          </w:r>
          <w:r>
            <w:rPr>
              <w:color w:val="auto"/>
            </w:rPr>
            <w:fldChar w:fldCharType="end"/>
          </w:r>
        </w:p>
        <w:p>
          <w:pPr>
            <w:pStyle w:val="25"/>
            <w:tabs>
              <w:tab w:val="right" w:leader="dot" w:pos="8306"/>
            </w:tabs>
          </w:pPr>
          <w:r>
            <w:rPr>
              <w:color w:val="auto"/>
            </w:rPr>
            <w:fldChar w:fldCharType="begin"/>
          </w:r>
          <w:r>
            <w:instrText xml:space="preserve"> HYPERLINK \l _Toc31691 </w:instrText>
          </w:r>
          <w:r>
            <w:fldChar w:fldCharType="separate"/>
          </w:r>
          <w:r>
            <w:rPr>
              <w:rFonts w:hint="eastAsia"/>
            </w:rPr>
            <w:t>5</w:t>
          </w:r>
          <w:r>
            <w:t>.7</w:t>
          </w:r>
          <w:r>
            <w:rPr>
              <w:rFonts w:hint="eastAsia"/>
            </w:rPr>
            <w:t>加强监管体系建设</w:t>
          </w:r>
          <w:r>
            <w:tab/>
          </w:r>
          <w:r>
            <w:fldChar w:fldCharType="begin"/>
          </w:r>
          <w:r>
            <w:instrText xml:space="preserve"> PAGEREF _Toc31691 \h </w:instrText>
          </w:r>
          <w:r>
            <w:fldChar w:fldCharType="separate"/>
          </w:r>
          <w:r>
            <w:t>68</w:t>
          </w:r>
          <w:r>
            <w:fldChar w:fldCharType="end"/>
          </w:r>
          <w:r>
            <w:rPr>
              <w:color w:val="auto"/>
            </w:rPr>
            <w:fldChar w:fldCharType="end"/>
          </w:r>
        </w:p>
        <w:p>
          <w:pPr>
            <w:pStyle w:val="15"/>
            <w:tabs>
              <w:tab w:val="right" w:leader="dot" w:pos="8306"/>
            </w:tabs>
          </w:pPr>
          <w:r>
            <w:rPr>
              <w:color w:val="auto"/>
            </w:rPr>
            <w:fldChar w:fldCharType="begin"/>
          </w:r>
          <w:r>
            <w:instrText xml:space="preserve"> HYPERLINK \l _Toc18592 </w:instrText>
          </w:r>
          <w:r>
            <w:fldChar w:fldCharType="separate"/>
          </w:r>
          <w:r>
            <w:rPr>
              <w:rFonts w:hint="eastAsia"/>
            </w:rPr>
            <w:t>5</w:t>
          </w:r>
          <w:r>
            <w:t>.7.1</w:t>
          </w:r>
          <w:r>
            <w:rPr>
              <w:rFonts w:hint="eastAsia"/>
            </w:rPr>
            <w:t>形成闭合监管体系</w:t>
          </w:r>
          <w:r>
            <w:tab/>
          </w:r>
          <w:r>
            <w:fldChar w:fldCharType="begin"/>
          </w:r>
          <w:r>
            <w:instrText xml:space="preserve"> PAGEREF _Toc18592 \h </w:instrText>
          </w:r>
          <w:r>
            <w:fldChar w:fldCharType="separate"/>
          </w:r>
          <w:r>
            <w:t>68</w:t>
          </w:r>
          <w:r>
            <w:fldChar w:fldCharType="end"/>
          </w:r>
          <w:r>
            <w:rPr>
              <w:color w:val="auto"/>
            </w:rPr>
            <w:fldChar w:fldCharType="end"/>
          </w:r>
        </w:p>
        <w:p>
          <w:pPr>
            <w:pStyle w:val="15"/>
            <w:tabs>
              <w:tab w:val="right" w:leader="dot" w:pos="8306"/>
            </w:tabs>
          </w:pPr>
          <w:r>
            <w:rPr>
              <w:color w:val="auto"/>
            </w:rPr>
            <w:fldChar w:fldCharType="begin"/>
          </w:r>
          <w:r>
            <w:instrText xml:space="preserve"> HYPERLINK \l _Toc8298 </w:instrText>
          </w:r>
          <w:r>
            <w:fldChar w:fldCharType="separate"/>
          </w:r>
          <w:r>
            <w:t>5.7.2</w:t>
          </w:r>
          <w:r>
            <w:rPr>
              <w:rFonts w:hint="eastAsia"/>
            </w:rPr>
            <w:t>加强事中事后监管</w:t>
          </w:r>
          <w:r>
            <w:tab/>
          </w:r>
          <w:r>
            <w:fldChar w:fldCharType="begin"/>
          </w:r>
          <w:r>
            <w:instrText xml:space="preserve"> PAGEREF _Toc8298 \h </w:instrText>
          </w:r>
          <w:r>
            <w:fldChar w:fldCharType="separate"/>
          </w:r>
          <w:r>
            <w:t>68</w:t>
          </w:r>
          <w:r>
            <w:fldChar w:fldCharType="end"/>
          </w:r>
          <w:r>
            <w:rPr>
              <w:color w:val="auto"/>
            </w:rPr>
            <w:fldChar w:fldCharType="end"/>
          </w:r>
        </w:p>
        <w:p>
          <w:pPr>
            <w:pStyle w:val="15"/>
            <w:tabs>
              <w:tab w:val="right" w:leader="dot" w:pos="8306"/>
            </w:tabs>
          </w:pPr>
          <w:r>
            <w:rPr>
              <w:color w:val="auto"/>
            </w:rPr>
            <w:fldChar w:fldCharType="begin"/>
          </w:r>
          <w:r>
            <w:instrText xml:space="preserve"> HYPERLINK \l _Toc2910 </w:instrText>
          </w:r>
          <w:r>
            <w:fldChar w:fldCharType="separate"/>
          </w:r>
          <w:r>
            <w:rPr>
              <w:rFonts w:hint="eastAsia"/>
            </w:rPr>
            <w:t>5</w:t>
          </w:r>
          <w:r>
            <w:t>.7.3</w:t>
          </w:r>
          <w:r>
            <w:rPr>
              <w:rFonts w:hint="eastAsia"/>
            </w:rPr>
            <w:t>加强信用体系建设</w:t>
          </w:r>
          <w:r>
            <w:tab/>
          </w:r>
          <w:r>
            <w:fldChar w:fldCharType="begin"/>
          </w:r>
          <w:r>
            <w:instrText xml:space="preserve"> PAGEREF _Toc2910 \h </w:instrText>
          </w:r>
          <w:r>
            <w:fldChar w:fldCharType="separate"/>
          </w:r>
          <w:r>
            <w:t>68</w:t>
          </w:r>
          <w:r>
            <w:fldChar w:fldCharType="end"/>
          </w:r>
          <w:r>
            <w:rPr>
              <w:color w:val="auto"/>
            </w:rPr>
            <w:fldChar w:fldCharType="end"/>
          </w:r>
        </w:p>
        <w:p>
          <w:pPr>
            <w:pStyle w:val="21"/>
            <w:tabs>
              <w:tab w:val="right" w:leader="dot" w:pos="8306"/>
            </w:tabs>
          </w:pPr>
          <w:r>
            <w:rPr>
              <w:color w:val="auto"/>
            </w:rPr>
            <w:fldChar w:fldCharType="begin"/>
          </w:r>
          <w:r>
            <w:instrText xml:space="preserve"> HYPERLINK \l _Toc11256 </w:instrText>
          </w:r>
          <w:r>
            <w:fldChar w:fldCharType="separate"/>
          </w:r>
          <w:r>
            <w:rPr>
              <w:rFonts w:hint="eastAsia"/>
            </w:rPr>
            <w:t>第六章 结论及建议</w:t>
          </w:r>
          <w:r>
            <w:tab/>
          </w:r>
          <w:r>
            <w:fldChar w:fldCharType="begin"/>
          </w:r>
          <w:r>
            <w:instrText xml:space="preserve"> PAGEREF _Toc11256 \h </w:instrText>
          </w:r>
          <w:r>
            <w:fldChar w:fldCharType="separate"/>
          </w:r>
          <w:r>
            <w:t>69</w:t>
          </w:r>
          <w:r>
            <w:fldChar w:fldCharType="end"/>
          </w:r>
          <w:r>
            <w:rPr>
              <w:color w:val="auto"/>
            </w:rPr>
            <w:fldChar w:fldCharType="end"/>
          </w:r>
        </w:p>
        <w:p>
          <w:pPr>
            <w:pStyle w:val="25"/>
            <w:tabs>
              <w:tab w:val="right" w:leader="dot" w:pos="8306"/>
            </w:tabs>
          </w:pPr>
          <w:r>
            <w:rPr>
              <w:color w:val="auto"/>
            </w:rPr>
            <w:fldChar w:fldCharType="begin"/>
          </w:r>
          <w:r>
            <w:instrText xml:space="preserve"> HYPERLINK \l _Toc15482 </w:instrText>
          </w:r>
          <w:r>
            <w:fldChar w:fldCharType="separate"/>
          </w:r>
          <w:r>
            <w:t>6</w:t>
          </w:r>
          <w:r>
            <w:rPr>
              <w:rFonts w:hint="eastAsia"/>
            </w:rPr>
            <w:t>.1 结论</w:t>
          </w:r>
          <w:r>
            <w:tab/>
          </w:r>
          <w:r>
            <w:fldChar w:fldCharType="begin"/>
          </w:r>
          <w:r>
            <w:instrText xml:space="preserve"> PAGEREF _Toc15482 \h </w:instrText>
          </w:r>
          <w:r>
            <w:fldChar w:fldCharType="separate"/>
          </w:r>
          <w:r>
            <w:t>69</w:t>
          </w:r>
          <w:r>
            <w:fldChar w:fldCharType="end"/>
          </w:r>
          <w:r>
            <w:rPr>
              <w:color w:val="auto"/>
            </w:rPr>
            <w:fldChar w:fldCharType="end"/>
          </w:r>
        </w:p>
        <w:p>
          <w:pPr>
            <w:pStyle w:val="25"/>
            <w:tabs>
              <w:tab w:val="right" w:leader="dot" w:pos="8306"/>
            </w:tabs>
          </w:pPr>
          <w:r>
            <w:rPr>
              <w:color w:val="auto"/>
            </w:rPr>
            <w:fldChar w:fldCharType="begin"/>
          </w:r>
          <w:r>
            <w:instrText xml:space="preserve"> HYPERLINK \l _Toc12281 </w:instrText>
          </w:r>
          <w:r>
            <w:fldChar w:fldCharType="separate"/>
          </w:r>
          <w:r>
            <w:rPr>
              <w:rFonts w:hint="eastAsia"/>
            </w:rPr>
            <w:t>6.2 建议</w:t>
          </w:r>
          <w:r>
            <w:tab/>
          </w:r>
          <w:r>
            <w:fldChar w:fldCharType="begin"/>
          </w:r>
          <w:r>
            <w:instrText xml:space="preserve"> PAGEREF _Toc12281 \h </w:instrText>
          </w:r>
          <w:r>
            <w:fldChar w:fldCharType="separate"/>
          </w:r>
          <w:r>
            <w:t>73</w:t>
          </w:r>
          <w:r>
            <w:fldChar w:fldCharType="end"/>
          </w:r>
          <w:r>
            <w:rPr>
              <w:color w:val="auto"/>
            </w:rPr>
            <w:fldChar w:fldCharType="end"/>
          </w:r>
        </w:p>
        <w:p>
          <w:pPr>
            <w:pStyle w:val="25"/>
            <w:tabs>
              <w:tab w:val="right" w:leader="dot" w:pos="8306"/>
            </w:tabs>
          </w:pPr>
          <w:r>
            <w:rPr>
              <w:color w:val="auto"/>
            </w:rPr>
            <w:fldChar w:fldCharType="begin"/>
          </w:r>
          <w:r>
            <w:instrText xml:space="preserve"> HYPERLINK \l _Toc12955 </w:instrText>
          </w:r>
          <w:r>
            <w:fldChar w:fldCharType="separate"/>
          </w:r>
          <w:r>
            <w:rPr>
              <w:rFonts w:hint="eastAsia"/>
            </w:rPr>
            <w:t>6</w:t>
          </w:r>
          <w:r>
            <w:t>.3</w:t>
          </w:r>
          <w:r>
            <w:rPr>
              <w:rFonts w:hint="eastAsia"/>
            </w:rPr>
            <w:t xml:space="preserve"> </w:t>
          </w:r>
          <w:r>
            <w:rPr>
              <w:rFonts w:hint="eastAsia" w:ascii="宋体" w:hAnsi="宋体" w:cs="宋体"/>
            </w:rPr>
            <w:t>总论</w:t>
          </w:r>
          <w:r>
            <w:tab/>
          </w:r>
          <w:r>
            <w:fldChar w:fldCharType="begin"/>
          </w:r>
          <w:r>
            <w:instrText xml:space="preserve"> PAGEREF _Toc12955 \h </w:instrText>
          </w:r>
          <w:r>
            <w:fldChar w:fldCharType="separate"/>
          </w:r>
          <w:r>
            <w:t>74</w:t>
          </w:r>
          <w:r>
            <w:fldChar w:fldCharType="end"/>
          </w:r>
          <w:r>
            <w:rPr>
              <w:color w:val="auto"/>
            </w:rPr>
            <w:fldChar w:fldCharType="end"/>
          </w:r>
        </w:p>
        <w:p>
          <w:pPr>
            <w:pStyle w:val="21"/>
            <w:tabs>
              <w:tab w:val="right" w:leader="dot" w:pos="8306"/>
            </w:tabs>
          </w:pPr>
          <w:r>
            <w:rPr>
              <w:color w:val="auto"/>
            </w:rPr>
            <w:fldChar w:fldCharType="begin"/>
          </w:r>
          <w:r>
            <w:instrText xml:space="preserve"> HYPERLINK \l _Toc28355 </w:instrText>
          </w:r>
          <w:r>
            <w:fldChar w:fldCharType="separate"/>
          </w:r>
          <w:r>
            <w:rPr>
              <w:rFonts w:hint="eastAsia"/>
            </w:rPr>
            <w:t>附 件</w:t>
          </w:r>
          <w:r>
            <w:tab/>
          </w:r>
          <w:r>
            <w:fldChar w:fldCharType="begin"/>
          </w:r>
          <w:r>
            <w:instrText xml:space="preserve"> PAGEREF _Toc28355 \h </w:instrText>
          </w:r>
          <w:r>
            <w:fldChar w:fldCharType="separate"/>
          </w:r>
          <w:r>
            <w:t>75</w:t>
          </w:r>
          <w:r>
            <w:fldChar w:fldCharType="end"/>
          </w:r>
          <w:r>
            <w:rPr>
              <w:color w:val="auto"/>
            </w:rPr>
            <w:fldChar w:fldCharType="end"/>
          </w:r>
        </w:p>
        <w:p>
          <w:pPr>
            <w:rPr>
              <w:color w:val="auto"/>
            </w:rPr>
          </w:pPr>
          <w:r>
            <w:rPr>
              <w:color w:val="auto"/>
            </w:rPr>
            <w:fldChar w:fldCharType="end"/>
          </w:r>
        </w:p>
      </w:sdtContent>
    </w:sdt>
    <w:p>
      <w:pPr>
        <w:pStyle w:val="2"/>
        <w:spacing w:before="156" w:after="156"/>
        <w:ind w:firstLine="640"/>
        <w:rPr>
          <w:color w:val="auto"/>
        </w:rPr>
        <w:sectPr>
          <w:footerReference r:id="rId10" w:type="default"/>
          <w:pgSz w:w="11906" w:h="16838"/>
          <w:pgMar w:top="1440" w:right="1800" w:bottom="1440" w:left="1800" w:header="851" w:footer="992" w:gutter="0"/>
          <w:cols w:space="425" w:num="1"/>
          <w:docGrid w:type="lines" w:linePitch="312" w:charSpace="0"/>
        </w:sectPr>
      </w:pPr>
      <w:bookmarkStart w:id="16" w:name="_Toc11073"/>
      <w:bookmarkStart w:id="17" w:name="_Toc12330"/>
      <w:bookmarkStart w:id="18" w:name="_Toc28452"/>
      <w:bookmarkStart w:id="19" w:name="_Toc19187"/>
      <w:bookmarkStart w:id="20" w:name="_Toc494555749"/>
      <w:bookmarkStart w:id="21" w:name="_Toc32412"/>
      <w:bookmarkStart w:id="22" w:name="_Toc346717793"/>
      <w:bookmarkStart w:id="23" w:name="_Toc23850"/>
    </w:p>
    <w:p>
      <w:pPr>
        <w:pStyle w:val="2"/>
        <w:spacing w:before="156" w:after="156"/>
        <w:rPr>
          <w:color w:val="auto"/>
        </w:rPr>
      </w:pPr>
      <w:bookmarkStart w:id="24" w:name="_Toc24131"/>
      <w:r>
        <w:rPr>
          <w:rFonts w:hint="eastAsia"/>
          <w:color w:val="auto"/>
        </w:rPr>
        <w:t>前  言</w:t>
      </w:r>
      <w:bookmarkEnd w:id="16"/>
      <w:bookmarkEnd w:id="17"/>
      <w:bookmarkEnd w:id="24"/>
    </w:p>
    <w:p>
      <w:pPr>
        <w:pStyle w:val="49"/>
        <w:rPr>
          <w:color w:val="auto"/>
        </w:rPr>
      </w:pPr>
      <w:r>
        <w:rPr>
          <w:rFonts w:hint="eastAsia"/>
          <w:color w:val="auto"/>
        </w:rPr>
        <w:t>2019年03月26日，国务院办公厅发布《关于全面开展工程建设项目审批制度改革的实施意见》（国办发〔2019〕11号）（后简称《实施意见》）要求推行区域节能评估。在各类开发区、工业园区、新区和其他有条件的区域，推行由政府统一组织对压覆重要矿产资源、环境影响评价、节能评价、地质灾害危险性评估、地震安全性评价、水资源论证等评估评价事项实行区域评估。实行区域评估的，政府相关部门应在土地出让或划拨前，告知建设单位相关建设要求。</w:t>
      </w:r>
    </w:p>
    <w:p>
      <w:pPr>
        <w:pStyle w:val="49"/>
        <w:rPr>
          <w:color w:val="auto"/>
        </w:rPr>
      </w:pPr>
      <w:r>
        <w:rPr>
          <w:rFonts w:hint="eastAsia"/>
          <w:color w:val="auto"/>
        </w:rPr>
        <w:t>为贯彻落实《实施意见》要求，在三亚市范围内对拟实施区域评估的工程建设项目，在民用建筑领域实现相应的审批事项实行告知承诺制，简化审批流程，三亚市住建局组织编制《三亚市民用建筑区域节能评估报告》（以下简称《评估报告》）。通过编制区域节能报告开展工程建设项目审批制度改革，加快审批流程，缩短项目审批时长，促进项目尽快落地。《评估报告》完成后，民用建筑投资主体企业在满足建筑能耗控制指标的前提下，无需再走节能审查备案等程序，从时间和资金上可大大缩减了企业成本和时间成本。</w:t>
      </w:r>
    </w:p>
    <w:p>
      <w:pPr>
        <w:pStyle w:val="49"/>
        <w:rPr>
          <w:color w:val="auto"/>
        </w:rPr>
      </w:pPr>
      <w:r>
        <w:rPr>
          <w:rFonts w:hint="eastAsia"/>
          <w:color w:val="auto"/>
        </w:rPr>
        <w:t>《评估报告》的编制及民用建筑节能评估告知承诺制的实行，是我市落实区域节能评估的一个重要组成部分，是落实国家“放管服”政策的一大举措，是在政策和制度体系上实现的重大突破，充分展现海南岛对外开放的信心和决心；同时也是我市全面推行极简审批制度，强化事中事后监管，建立与国际接轨的监管标准和规范制度的体现。</w:t>
      </w:r>
    </w:p>
    <w:bookmarkEnd w:id="18"/>
    <w:bookmarkEnd w:id="19"/>
    <w:bookmarkEnd w:id="20"/>
    <w:bookmarkEnd w:id="21"/>
    <w:bookmarkEnd w:id="22"/>
    <w:bookmarkEnd w:id="23"/>
    <w:p>
      <w:pPr>
        <w:pStyle w:val="2"/>
        <w:numPr>
          <w:ilvl w:val="0"/>
          <w:numId w:val="1"/>
        </w:numPr>
        <w:spacing w:before="156" w:after="156"/>
        <w:rPr>
          <w:color w:val="auto"/>
        </w:rPr>
      </w:pPr>
      <w:bookmarkStart w:id="25" w:name="_Toc24672"/>
      <w:bookmarkStart w:id="26" w:name="_Toc13937"/>
      <w:r>
        <w:rPr>
          <w:rFonts w:hint="eastAsia"/>
          <w:color w:val="auto"/>
        </w:rPr>
        <w:t xml:space="preserve"> </w:t>
      </w:r>
      <w:bookmarkStart w:id="27" w:name="_Toc19297"/>
      <w:r>
        <w:rPr>
          <w:rFonts w:hint="eastAsia"/>
          <w:color w:val="auto"/>
        </w:rPr>
        <w:t>总论</w:t>
      </w:r>
      <w:bookmarkEnd w:id="25"/>
      <w:bookmarkEnd w:id="26"/>
      <w:bookmarkEnd w:id="27"/>
    </w:p>
    <w:p>
      <w:pPr>
        <w:pStyle w:val="3"/>
        <w:spacing w:before="156" w:after="156"/>
        <w:rPr>
          <w:color w:val="auto"/>
        </w:rPr>
      </w:pPr>
      <w:bookmarkStart w:id="28" w:name="_Toc12217"/>
      <w:bookmarkStart w:id="29" w:name="_Toc2240"/>
      <w:bookmarkStart w:id="30" w:name="_Toc16289"/>
      <w:bookmarkStart w:id="31" w:name="_Toc2090"/>
      <w:bookmarkStart w:id="32" w:name="_Toc346717794"/>
      <w:bookmarkStart w:id="33" w:name="_Toc494555750"/>
      <w:bookmarkStart w:id="34" w:name="_Toc26104"/>
      <w:bookmarkStart w:id="35" w:name="_Toc343691953"/>
      <w:bookmarkStart w:id="36" w:name="_Toc24759"/>
      <w:bookmarkStart w:id="37" w:name="_Toc343617545"/>
      <w:bookmarkStart w:id="38" w:name="_Toc346465470"/>
      <w:bookmarkStart w:id="39" w:name="_Toc342491554"/>
      <w:r>
        <w:rPr>
          <w:color w:val="auto"/>
        </w:rPr>
        <w:t>1.1</w:t>
      </w:r>
      <w:bookmarkEnd w:id="28"/>
      <w:bookmarkEnd w:id="29"/>
      <w:r>
        <w:rPr>
          <w:rFonts w:hint="eastAsia"/>
          <w:color w:val="auto"/>
        </w:rPr>
        <w:t>概况</w:t>
      </w:r>
      <w:bookmarkEnd w:id="30"/>
      <w:bookmarkEnd w:id="31"/>
    </w:p>
    <w:p>
      <w:pPr>
        <w:pStyle w:val="4"/>
        <w:rPr>
          <w:color w:val="auto"/>
        </w:rPr>
      </w:pPr>
      <w:bookmarkStart w:id="40" w:name="_bookmark2"/>
      <w:bookmarkEnd w:id="40"/>
      <w:bookmarkStart w:id="41" w:name="_Toc14484"/>
      <w:bookmarkStart w:id="42" w:name="_Toc28223"/>
      <w:bookmarkStart w:id="43" w:name="_Toc6410"/>
      <w:r>
        <w:rPr>
          <w:color w:val="auto"/>
        </w:rPr>
        <w:t>1.1.1项目由来</w:t>
      </w:r>
      <w:bookmarkEnd w:id="41"/>
      <w:bookmarkEnd w:id="42"/>
      <w:bookmarkEnd w:id="43"/>
    </w:p>
    <w:p>
      <w:pPr>
        <w:ind w:firstLine="576"/>
        <w:rPr>
          <w:color w:val="auto"/>
          <w:spacing w:val="5"/>
        </w:rPr>
      </w:pPr>
      <w:r>
        <w:rPr>
          <w:rFonts w:hint="eastAsia"/>
          <w:color w:val="auto"/>
          <w:spacing w:val="4"/>
        </w:rPr>
        <w:t>根据《国务院办公厅关于全面开展工程建设项目审批制度改革的实施意见》</w:t>
      </w:r>
      <w:r>
        <w:rPr>
          <w:rFonts w:hint="eastAsia"/>
          <w:color w:val="auto"/>
        </w:rPr>
        <w:t>（国办发〔2019〕11号）</w:t>
      </w:r>
      <w:r>
        <w:rPr>
          <w:rFonts w:hint="eastAsia"/>
          <w:color w:val="auto"/>
          <w:spacing w:val="4"/>
        </w:rPr>
        <w:t>精神</w:t>
      </w:r>
      <w:r>
        <w:rPr>
          <w:rFonts w:hint="eastAsia"/>
          <w:color w:val="auto"/>
        </w:rPr>
        <w:t>、《海南省人民政府关于印发〈海南省工程建设项目审批制度改革实施方案〉和〈海南省建设工程竣工联合验收实施方案〉的通知》（琼府〔2019〕28号）要求、《三亚市人民政府关于印发〈三亚市工程建设项目审批制度改革实施方案〉的通知》（三府〔2019〕214号）</w:t>
      </w:r>
      <w:r>
        <w:rPr>
          <w:color w:val="auto"/>
          <w:spacing w:val="6"/>
        </w:rPr>
        <w:t>等文</w:t>
      </w:r>
      <w:r>
        <w:rPr>
          <w:color w:val="auto"/>
        </w:rPr>
        <w:t>件精神，</w:t>
      </w:r>
      <w:r>
        <w:rPr>
          <w:color w:val="auto"/>
          <w:spacing w:val="5"/>
        </w:rPr>
        <w:t>为了进一步</w:t>
      </w:r>
      <w:r>
        <w:rPr>
          <w:color w:val="auto"/>
          <w:spacing w:val="4"/>
        </w:rPr>
        <w:t>提高</w:t>
      </w:r>
      <w:r>
        <w:rPr>
          <w:rFonts w:hint="eastAsia"/>
          <w:color w:val="auto"/>
          <w:spacing w:val="4"/>
        </w:rPr>
        <w:t>民用建筑</w:t>
      </w:r>
      <w:r>
        <w:rPr>
          <w:color w:val="auto"/>
          <w:spacing w:val="4"/>
        </w:rPr>
        <w:t>项目节能评估和审查工作效率，</w:t>
      </w:r>
      <w:r>
        <w:rPr>
          <w:color w:val="auto"/>
          <w:spacing w:val="5"/>
        </w:rPr>
        <w:t>简化节能审查环节，优化节能审查流程</w:t>
      </w:r>
      <w:r>
        <w:rPr>
          <w:rFonts w:hint="eastAsia"/>
          <w:color w:val="auto"/>
        </w:rPr>
        <w:t>，</w:t>
      </w:r>
      <w:r>
        <w:rPr>
          <w:rFonts w:hint="eastAsia"/>
          <w:color w:val="auto"/>
          <w:spacing w:val="5"/>
        </w:rPr>
        <w:t>加强节能管控，三亚市住建局组织编制《三亚市民用建筑区域节能评估报告》</w:t>
      </w:r>
      <w:r>
        <w:rPr>
          <w:rFonts w:hint="eastAsia"/>
          <w:color w:val="auto"/>
        </w:rPr>
        <w:t>，在三亚市范围内</w:t>
      </w:r>
      <w:r>
        <w:rPr>
          <w:color w:val="auto"/>
        </w:rPr>
        <w:t>开展</w:t>
      </w:r>
      <w:r>
        <w:rPr>
          <w:rFonts w:hint="eastAsia"/>
          <w:color w:val="auto"/>
        </w:rPr>
        <w:t>民用建筑</w:t>
      </w:r>
      <w:r>
        <w:rPr>
          <w:color w:val="auto"/>
        </w:rPr>
        <w:t>区域</w:t>
      </w:r>
      <w:r>
        <w:rPr>
          <w:rFonts w:hint="eastAsia"/>
          <w:color w:val="auto"/>
        </w:rPr>
        <w:t>节能评估</w:t>
      </w:r>
      <w:r>
        <w:rPr>
          <w:color w:val="auto"/>
        </w:rPr>
        <w:t>工作</w:t>
      </w:r>
      <w:r>
        <w:rPr>
          <w:color w:val="auto"/>
          <w:spacing w:val="5"/>
        </w:rPr>
        <w:t>。</w:t>
      </w:r>
      <w:bookmarkStart w:id="44" w:name="_bookmark3"/>
      <w:bookmarkEnd w:id="44"/>
    </w:p>
    <w:p>
      <w:pPr>
        <w:pStyle w:val="4"/>
        <w:rPr>
          <w:color w:val="auto"/>
        </w:rPr>
      </w:pPr>
      <w:bookmarkStart w:id="45" w:name="_Toc10934"/>
      <w:bookmarkStart w:id="46" w:name="_Toc22900"/>
      <w:r>
        <w:rPr>
          <w:rFonts w:hint="eastAsia"/>
          <w:color w:val="auto"/>
        </w:rPr>
        <w:t>1.1.2评估工作的目的</w:t>
      </w:r>
      <w:bookmarkEnd w:id="45"/>
      <w:bookmarkEnd w:id="46"/>
    </w:p>
    <w:p>
      <w:pPr>
        <w:ind w:firstLine="576"/>
        <w:rPr>
          <w:color w:val="auto"/>
        </w:rPr>
      </w:pPr>
      <w:r>
        <w:rPr>
          <w:rFonts w:hint="eastAsia"/>
          <w:color w:val="auto"/>
          <w:spacing w:val="4"/>
        </w:rPr>
        <w:t>根据《国务院办公厅关于全面开展工程建设项目审批制度改革的实施意见》</w:t>
      </w:r>
      <w:r>
        <w:rPr>
          <w:rFonts w:hint="eastAsia"/>
          <w:color w:val="auto"/>
        </w:rPr>
        <w:t>（国办发〔2019〕11号）要求：“实行区域评估，政府相关部门应在土地出让或划拨前，告知建设单位相关建设要求”；“对已经实施区域评估范围内的工程建设项目，相应的审批事项实行告知承诺制”，因此，报告在评估工作的基础上，提出相应节能技术措施及相关管控措施，为下一步在节能领域实行告知承诺制提供基础。</w:t>
      </w:r>
    </w:p>
    <w:p>
      <w:pPr>
        <w:numPr>
          <w:ilvl w:val="0"/>
          <w:numId w:val="2"/>
        </w:numPr>
        <w:rPr>
          <w:color w:val="auto"/>
          <w:spacing w:val="4"/>
        </w:rPr>
      </w:pPr>
      <w:r>
        <w:rPr>
          <w:color w:val="auto"/>
        </w:rPr>
        <w:t>在</w:t>
      </w:r>
      <w:r>
        <w:rPr>
          <w:rFonts w:hint="eastAsia"/>
          <w:color w:val="auto"/>
        </w:rPr>
        <w:t>三亚市区</w:t>
      </w:r>
      <w:r>
        <w:rPr>
          <w:color w:val="auto"/>
        </w:rPr>
        <w:t>内，通过编制</w:t>
      </w:r>
      <w:r>
        <w:rPr>
          <w:rFonts w:hint="eastAsia"/>
          <w:color w:val="auto"/>
        </w:rPr>
        <w:t>民用建筑</w:t>
      </w:r>
      <w:r>
        <w:rPr>
          <w:color w:val="auto"/>
        </w:rPr>
        <w:t>区域</w:t>
      </w:r>
      <w:r>
        <w:rPr>
          <w:rFonts w:hint="eastAsia"/>
          <w:color w:val="auto"/>
        </w:rPr>
        <w:t>节能评估</w:t>
      </w:r>
      <w:r>
        <w:rPr>
          <w:color w:val="auto"/>
        </w:rPr>
        <w:t>报告，分析区域</w:t>
      </w:r>
      <w:r>
        <w:rPr>
          <w:rFonts w:hint="eastAsia"/>
          <w:color w:val="auto"/>
        </w:rPr>
        <w:t>内民用建筑</w:t>
      </w:r>
      <w:r>
        <w:rPr>
          <w:color w:val="auto"/>
        </w:rPr>
        <w:t>用</w:t>
      </w:r>
      <w:r>
        <w:rPr>
          <w:color w:val="auto"/>
          <w:spacing w:val="4"/>
        </w:rPr>
        <w:t>能现状</w:t>
      </w:r>
      <w:r>
        <w:rPr>
          <w:rFonts w:hint="eastAsia"/>
          <w:color w:val="auto"/>
          <w:spacing w:val="4"/>
        </w:rPr>
        <w:t>及问题</w:t>
      </w:r>
      <w:r>
        <w:rPr>
          <w:color w:val="auto"/>
          <w:spacing w:val="4"/>
        </w:rPr>
        <w:t>，</w:t>
      </w:r>
      <w:r>
        <w:rPr>
          <w:rFonts w:hint="eastAsia"/>
          <w:color w:val="auto"/>
          <w:spacing w:val="4"/>
        </w:rPr>
        <w:t>提出</w:t>
      </w:r>
      <w:r>
        <w:rPr>
          <w:color w:val="auto"/>
          <w:spacing w:val="4"/>
        </w:rPr>
        <w:t>相适应的各项节能</w:t>
      </w:r>
      <w:r>
        <w:rPr>
          <w:rFonts w:hint="eastAsia"/>
          <w:color w:val="auto"/>
          <w:spacing w:val="4"/>
        </w:rPr>
        <w:t>技术</w:t>
      </w:r>
      <w:r>
        <w:rPr>
          <w:color w:val="auto"/>
          <w:spacing w:val="4"/>
        </w:rPr>
        <w:t>措施</w:t>
      </w:r>
      <w:r>
        <w:rPr>
          <w:rFonts w:hint="eastAsia"/>
          <w:color w:val="auto"/>
          <w:spacing w:val="4"/>
        </w:rPr>
        <w:t>。</w:t>
      </w:r>
    </w:p>
    <w:p>
      <w:pPr>
        <w:numPr>
          <w:ilvl w:val="0"/>
          <w:numId w:val="2"/>
        </w:numPr>
        <w:ind w:firstLine="576"/>
        <w:rPr>
          <w:color w:val="auto"/>
          <w:spacing w:val="4"/>
        </w:rPr>
      </w:pPr>
      <w:r>
        <w:rPr>
          <w:rFonts w:hint="eastAsia"/>
          <w:color w:val="auto"/>
          <w:spacing w:val="4"/>
        </w:rPr>
        <w:t>通过分析三亚节能管理情况，提出三亚节能、绿建等相关管控措施，引导项目向节能、绿色、高质量发展。</w:t>
      </w:r>
    </w:p>
    <w:p>
      <w:pPr>
        <w:numPr>
          <w:ilvl w:val="0"/>
          <w:numId w:val="2"/>
        </w:numPr>
        <w:ind w:firstLine="576"/>
        <w:rPr>
          <w:color w:val="auto"/>
          <w:spacing w:val="4"/>
        </w:rPr>
      </w:pPr>
      <w:r>
        <w:rPr>
          <w:color w:val="auto"/>
          <w:spacing w:val="4"/>
        </w:rPr>
        <w:t>提出一个时期内本区域</w:t>
      </w:r>
      <w:r>
        <w:rPr>
          <w:rFonts w:hint="eastAsia"/>
          <w:color w:val="auto"/>
          <w:spacing w:val="4"/>
        </w:rPr>
        <w:t>民用建筑能耗标准，为项目运营阶段提出能耗管控目标。</w:t>
      </w:r>
    </w:p>
    <w:p>
      <w:pPr>
        <w:numPr>
          <w:ilvl w:val="0"/>
          <w:numId w:val="2"/>
        </w:numPr>
        <w:rPr>
          <w:color w:val="auto"/>
        </w:rPr>
      </w:pPr>
      <w:r>
        <w:rPr>
          <w:rFonts w:hint="eastAsia"/>
          <w:color w:val="auto"/>
        </w:rPr>
        <w:t>在三亚范围内，提前一次性完成建设项目审批过程中涉及的有关节能评估评审工作，形成整体性、区域化评估评审结果，提供给进入该区域的建设项目共享使用，</w:t>
      </w:r>
      <w:r>
        <w:rPr>
          <w:color w:val="auto"/>
          <w:spacing w:val="4"/>
        </w:rPr>
        <w:t>以审查通过的区域节能报告取</w:t>
      </w:r>
      <w:r>
        <w:rPr>
          <w:color w:val="auto"/>
        </w:rPr>
        <w:t>代</w:t>
      </w:r>
      <w:r>
        <w:rPr>
          <w:rFonts w:hint="eastAsia"/>
          <w:color w:val="auto"/>
          <w:spacing w:val="4"/>
        </w:rPr>
        <w:t>一般企业项目节能报告，</w:t>
      </w:r>
      <w:r>
        <w:rPr>
          <w:rFonts w:hint="eastAsia"/>
          <w:color w:val="auto"/>
        </w:rPr>
        <w:t>变建设项目评估评审的“单体评价”为“整体评价”，</w:t>
      </w:r>
      <w:r>
        <w:rPr>
          <w:rFonts w:hint="eastAsia"/>
          <w:color w:val="auto"/>
          <w:spacing w:val="4"/>
        </w:rPr>
        <w:t>简化审批流程，</w:t>
      </w:r>
      <w:r>
        <w:rPr>
          <w:rFonts w:hint="eastAsia"/>
          <w:color w:val="auto"/>
        </w:rPr>
        <w:t>达到简化行政审批手续、服务企业和落实节能降耗目标任务的目的。</w:t>
      </w:r>
    </w:p>
    <w:p>
      <w:pPr>
        <w:pStyle w:val="3"/>
        <w:spacing w:before="156" w:after="156"/>
        <w:rPr>
          <w:color w:val="auto"/>
        </w:rPr>
      </w:pPr>
      <w:bookmarkStart w:id="47" w:name="_Toc27953"/>
      <w:bookmarkStart w:id="48" w:name="_Toc20304"/>
      <w:r>
        <w:rPr>
          <w:rFonts w:hint="eastAsia"/>
          <w:color w:val="auto"/>
        </w:rPr>
        <w:t>1.2 评估范围及时段</w:t>
      </w:r>
      <w:bookmarkEnd w:id="47"/>
      <w:bookmarkEnd w:id="48"/>
    </w:p>
    <w:p>
      <w:pPr>
        <w:pStyle w:val="4"/>
        <w:rPr>
          <w:color w:val="auto"/>
        </w:rPr>
      </w:pPr>
      <w:bookmarkStart w:id="49" w:name="_Toc31411"/>
      <w:bookmarkStart w:id="50" w:name="_Toc26832"/>
      <w:bookmarkStart w:id="51" w:name="_Toc28320"/>
      <w:r>
        <w:rPr>
          <w:color w:val="auto"/>
        </w:rPr>
        <w:t>1.</w:t>
      </w:r>
      <w:r>
        <w:rPr>
          <w:rFonts w:hint="eastAsia"/>
          <w:color w:val="auto"/>
        </w:rPr>
        <w:t>2.1</w:t>
      </w:r>
      <w:r>
        <w:rPr>
          <w:color w:val="auto"/>
        </w:rPr>
        <w:t>评估范围</w:t>
      </w:r>
      <w:bookmarkEnd w:id="49"/>
      <w:bookmarkEnd w:id="50"/>
      <w:bookmarkEnd w:id="51"/>
    </w:p>
    <w:bookmarkEnd w:id="32"/>
    <w:bookmarkEnd w:id="33"/>
    <w:bookmarkEnd w:id="34"/>
    <w:bookmarkEnd w:id="35"/>
    <w:bookmarkEnd w:id="36"/>
    <w:bookmarkEnd w:id="37"/>
    <w:bookmarkEnd w:id="38"/>
    <w:bookmarkEnd w:id="39"/>
    <w:p>
      <w:pPr>
        <w:rPr>
          <w:color w:val="auto"/>
        </w:rPr>
      </w:pPr>
      <w:r>
        <w:rPr>
          <w:rFonts w:hint="eastAsia"/>
          <w:color w:val="auto"/>
        </w:rPr>
        <w:t>三亚市域行政区范围面积约</w:t>
      </w:r>
      <w:r>
        <w:rPr>
          <w:color w:val="auto"/>
        </w:rPr>
        <w:t>1922</w:t>
      </w:r>
      <w:r>
        <w:rPr>
          <w:rFonts w:hint="eastAsia"/>
          <w:color w:val="auto"/>
        </w:rPr>
        <w:t>平方公里。城市规划范围包括中心城区、海棠湾城区及崖州湾城区，面积约</w:t>
      </w:r>
      <w:r>
        <w:rPr>
          <w:color w:val="auto"/>
        </w:rPr>
        <w:t>183</w:t>
      </w:r>
      <w:r>
        <w:rPr>
          <w:rFonts w:hint="eastAsia"/>
          <w:color w:val="auto"/>
        </w:rPr>
        <w:t>平方公里。</w:t>
      </w:r>
    </w:p>
    <w:p>
      <w:pPr>
        <w:rPr>
          <w:color w:val="auto"/>
        </w:rPr>
      </w:pPr>
      <w:r>
        <w:rPr>
          <w:color w:val="auto"/>
        </w:rPr>
        <w:t>本</w:t>
      </w:r>
      <w:r>
        <w:rPr>
          <w:rFonts w:hint="eastAsia"/>
          <w:color w:val="auto"/>
        </w:rPr>
        <w:t>次</w:t>
      </w:r>
      <w:r>
        <w:rPr>
          <w:color w:val="auto"/>
        </w:rPr>
        <w:t>评估范围</w:t>
      </w:r>
      <w:r>
        <w:rPr>
          <w:rFonts w:hint="eastAsia"/>
          <w:color w:val="auto"/>
        </w:rPr>
        <w:t>包括天涯区、海棠区、吉阳区、崖州区以及</w:t>
      </w:r>
      <w:r>
        <w:rPr>
          <w:rFonts w:hint="eastAsia"/>
          <w:color w:val="auto"/>
          <w:szCs w:val="36"/>
        </w:rPr>
        <w:t>三亚市行政辖区内的各类国家级和市级开发区（包括高新区、开发区、产业园区等），以及其他需进行区域整体评价的特定区域。</w:t>
      </w:r>
    </w:p>
    <w:p>
      <w:pPr>
        <w:pStyle w:val="10"/>
        <w:spacing w:before="312"/>
        <w:rPr>
          <w:color w:val="auto"/>
        </w:rPr>
      </w:pPr>
      <w:r>
        <w:rPr>
          <w:color w:val="auto"/>
        </w:rPr>
        <w:drawing>
          <wp:inline distT="0" distB="0" distL="114300" distR="114300">
            <wp:extent cx="4866005" cy="3291205"/>
            <wp:effectExtent l="0" t="0" r="1270" b="4445"/>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3"/>
                    <a:stretch>
                      <a:fillRect/>
                    </a:stretch>
                  </pic:blipFill>
                  <pic:spPr>
                    <a:xfrm>
                      <a:off x="0" y="0"/>
                      <a:ext cx="4866005" cy="3291205"/>
                    </a:xfrm>
                    <a:prstGeom prst="rect">
                      <a:avLst/>
                    </a:prstGeom>
                    <a:noFill/>
                    <a:ln>
                      <a:noFill/>
                    </a:ln>
                  </pic:spPr>
                </pic:pic>
              </a:graphicData>
            </a:graphic>
          </wp:inline>
        </w:drawing>
      </w:r>
    </w:p>
    <w:p>
      <w:pPr>
        <w:pStyle w:val="10"/>
        <w:spacing w:before="312"/>
        <w:rPr>
          <w:rFonts w:eastAsia="仿宋_GB2312"/>
          <w:color w:val="auto"/>
        </w:rPr>
      </w:pPr>
      <w:r>
        <w:rPr>
          <w:color w:val="auto"/>
        </w:rPr>
        <w:t>图</w:t>
      </w:r>
      <w:r>
        <w:rPr>
          <w:color w:val="auto"/>
        </w:rPr>
        <w:fldChar w:fldCharType="begin"/>
      </w:r>
      <w:r>
        <w:rPr>
          <w:color w:val="auto"/>
        </w:rPr>
        <w:instrText xml:space="preserve"> SEQ 图 \* ARABIC </w:instrText>
      </w:r>
      <w:r>
        <w:rPr>
          <w:color w:val="auto"/>
        </w:rPr>
        <w:fldChar w:fldCharType="separate"/>
      </w:r>
      <w:r>
        <w:rPr>
          <w:color w:val="auto"/>
        </w:rPr>
        <w:t>1</w:t>
      </w:r>
      <w:r>
        <w:rPr>
          <w:color w:val="auto"/>
        </w:rPr>
        <w:fldChar w:fldCharType="end"/>
      </w:r>
      <w:r>
        <w:rPr>
          <w:rFonts w:hint="eastAsia"/>
          <w:color w:val="auto"/>
        </w:rPr>
        <w:t>-1 三亚范围</w:t>
      </w:r>
    </w:p>
    <w:p>
      <w:pPr>
        <w:pStyle w:val="4"/>
        <w:rPr>
          <w:color w:val="auto"/>
        </w:rPr>
      </w:pPr>
      <w:bookmarkStart w:id="52" w:name="_Toc17311"/>
      <w:bookmarkStart w:id="53" w:name="_Toc30569"/>
      <w:bookmarkStart w:id="54" w:name="_Toc12909"/>
      <w:r>
        <w:rPr>
          <w:rFonts w:hint="eastAsia"/>
          <w:color w:val="auto"/>
        </w:rPr>
        <w:t>1.2.2</w:t>
      </w:r>
      <w:r>
        <w:rPr>
          <w:color w:val="auto"/>
        </w:rPr>
        <w:t>评估时段</w:t>
      </w:r>
      <w:bookmarkEnd w:id="52"/>
      <w:bookmarkEnd w:id="53"/>
      <w:bookmarkEnd w:id="54"/>
    </w:p>
    <w:p>
      <w:pPr>
        <w:rPr>
          <w:color w:val="auto"/>
        </w:rPr>
      </w:pPr>
      <w:r>
        <w:rPr>
          <w:color w:val="auto"/>
        </w:rPr>
        <w:t>评估时段：</w:t>
      </w:r>
      <w:r>
        <w:rPr>
          <w:rFonts w:eastAsia="Times New Roman"/>
          <w:color w:val="auto"/>
        </w:rPr>
        <w:t>20</w:t>
      </w:r>
      <w:r>
        <w:rPr>
          <w:rFonts w:hint="eastAsia"/>
          <w:color w:val="auto"/>
        </w:rPr>
        <w:t>11</w:t>
      </w:r>
      <w:r>
        <w:rPr>
          <w:color w:val="auto"/>
        </w:rPr>
        <w:t>年</w:t>
      </w:r>
      <w:r>
        <w:rPr>
          <w:rFonts w:eastAsia="Times New Roman"/>
          <w:color w:val="auto"/>
        </w:rPr>
        <w:t>-20</w:t>
      </w:r>
      <w:r>
        <w:rPr>
          <w:rFonts w:hint="eastAsia"/>
          <w:color w:val="auto"/>
        </w:rPr>
        <w:t>20</w:t>
      </w:r>
      <w:r>
        <w:rPr>
          <w:color w:val="auto"/>
        </w:rPr>
        <w:t>年</w:t>
      </w:r>
    </w:p>
    <w:p>
      <w:pPr>
        <w:rPr>
          <w:color w:val="auto"/>
        </w:rPr>
      </w:pPr>
      <w:r>
        <w:rPr>
          <w:color w:val="auto"/>
        </w:rPr>
        <w:t>评估主要内容：以</w:t>
      </w:r>
      <w:r>
        <w:rPr>
          <w:rFonts w:hint="eastAsia"/>
          <w:color w:val="auto"/>
        </w:rPr>
        <w:t>历年以来节能审计和调研的节能数据</w:t>
      </w:r>
      <w:r>
        <w:rPr>
          <w:color w:val="auto"/>
        </w:rPr>
        <w:t>，</w:t>
      </w:r>
      <w:r>
        <w:rPr>
          <w:rFonts w:hint="eastAsia"/>
          <w:color w:val="auto"/>
        </w:rPr>
        <w:t>评估</w:t>
      </w:r>
      <w:r>
        <w:rPr>
          <w:color w:val="auto"/>
        </w:rPr>
        <w:t>区域范围内的</w:t>
      </w:r>
      <w:r>
        <w:rPr>
          <w:rFonts w:hint="eastAsia"/>
          <w:color w:val="auto"/>
        </w:rPr>
        <w:t>民用建筑</w:t>
      </w:r>
      <w:r>
        <w:rPr>
          <w:color w:val="auto"/>
        </w:rPr>
        <w:t>能源消耗情况</w:t>
      </w:r>
      <w:r>
        <w:rPr>
          <w:rFonts w:hint="eastAsia"/>
          <w:color w:val="auto"/>
        </w:rPr>
        <w:t>及节能相关工作开展情况</w:t>
      </w:r>
      <w:r>
        <w:rPr>
          <w:color w:val="auto"/>
        </w:rPr>
        <w:t>。</w:t>
      </w:r>
    </w:p>
    <w:p>
      <w:pPr>
        <w:rPr>
          <w:color w:val="auto"/>
        </w:rPr>
      </w:pPr>
    </w:p>
    <w:p>
      <w:pPr>
        <w:pStyle w:val="3"/>
        <w:spacing w:before="156" w:after="156"/>
        <w:rPr>
          <w:color w:val="auto"/>
        </w:rPr>
      </w:pPr>
      <w:bookmarkStart w:id="55" w:name="_Toc27395"/>
      <w:bookmarkStart w:id="56" w:name="_Toc13215"/>
      <w:bookmarkStart w:id="57" w:name="_Toc19504"/>
      <w:bookmarkStart w:id="58" w:name="_Toc25942"/>
      <w:r>
        <w:rPr>
          <w:color w:val="auto"/>
        </w:rPr>
        <w:t>1.</w:t>
      </w:r>
      <w:r>
        <w:rPr>
          <w:rFonts w:hint="eastAsia"/>
          <w:color w:val="auto"/>
        </w:rPr>
        <w:t>3</w:t>
      </w:r>
      <w:r>
        <w:rPr>
          <w:color w:val="auto"/>
        </w:rPr>
        <w:t xml:space="preserve"> 评估依据</w:t>
      </w:r>
      <w:bookmarkEnd w:id="55"/>
      <w:bookmarkEnd w:id="56"/>
      <w:bookmarkEnd w:id="57"/>
      <w:bookmarkEnd w:id="58"/>
    </w:p>
    <w:p>
      <w:pPr>
        <w:pStyle w:val="4"/>
        <w:rPr>
          <w:color w:val="auto"/>
        </w:rPr>
      </w:pPr>
      <w:bookmarkStart w:id="59" w:name="_Toc346717797"/>
      <w:bookmarkStart w:id="60" w:name="_Toc26119"/>
      <w:bookmarkStart w:id="61" w:name="_Toc3410"/>
      <w:bookmarkStart w:id="62" w:name="_Toc494555753"/>
      <w:bookmarkStart w:id="63" w:name="_Toc342491557"/>
      <w:bookmarkStart w:id="64" w:name="_Toc19977"/>
      <w:bookmarkStart w:id="65" w:name="_Toc346465473"/>
      <w:bookmarkStart w:id="66" w:name="_Toc11337"/>
      <w:bookmarkStart w:id="67" w:name="_Toc343617548"/>
      <w:bookmarkStart w:id="68" w:name="_Toc343691956"/>
      <w:bookmarkStart w:id="69" w:name="_Toc14619"/>
      <w:r>
        <w:rPr>
          <w:color w:val="auto"/>
        </w:rPr>
        <w:t>1</w:t>
      </w:r>
      <w:r>
        <w:rPr>
          <w:rFonts w:hint="eastAsia"/>
          <w:color w:val="auto"/>
        </w:rPr>
        <w:t>.3.1 法律、法规、规章（</w:t>
      </w:r>
      <w:r>
        <w:rPr>
          <w:color w:val="auto"/>
        </w:rPr>
        <w:t>国家层面</w:t>
      </w:r>
      <w:r>
        <w:rPr>
          <w:rFonts w:hint="eastAsia"/>
          <w:color w:val="auto"/>
        </w:rPr>
        <w:t>）</w:t>
      </w:r>
      <w:bookmarkEnd w:id="59"/>
      <w:bookmarkEnd w:id="60"/>
      <w:bookmarkEnd w:id="61"/>
      <w:bookmarkEnd w:id="62"/>
      <w:bookmarkEnd w:id="63"/>
      <w:bookmarkEnd w:id="64"/>
      <w:bookmarkEnd w:id="65"/>
      <w:bookmarkEnd w:id="66"/>
      <w:bookmarkEnd w:id="67"/>
      <w:bookmarkEnd w:id="68"/>
      <w:bookmarkEnd w:id="69"/>
    </w:p>
    <w:p>
      <w:pPr>
        <w:rPr>
          <w:color w:val="auto"/>
        </w:rPr>
      </w:pPr>
      <w:r>
        <w:rPr>
          <w:color w:val="auto"/>
        </w:rPr>
        <w:t>（1）</w:t>
      </w:r>
      <w:r>
        <w:rPr>
          <w:rFonts w:hint="eastAsia"/>
          <w:color w:val="auto"/>
        </w:rPr>
        <w:t>全国人民代表大会常务委员会</w:t>
      </w:r>
      <w:r>
        <w:rPr>
          <w:color w:val="auto"/>
        </w:rPr>
        <w:t>《中华人民共和国建筑法》</w:t>
      </w:r>
      <w:r>
        <w:rPr>
          <w:rFonts w:hint="eastAsia"/>
          <w:color w:val="auto"/>
        </w:rPr>
        <w:t>（</w:t>
      </w:r>
      <w:r>
        <w:rPr>
          <w:color w:val="auto"/>
        </w:rPr>
        <w:t>中华人民共和国主席令第</w:t>
      </w:r>
      <w:r>
        <w:rPr>
          <w:rFonts w:hint="eastAsia"/>
          <w:color w:val="auto"/>
        </w:rPr>
        <w:t>四十六</w:t>
      </w:r>
      <w:r>
        <w:rPr>
          <w:color w:val="auto"/>
        </w:rPr>
        <w:t>号</w:t>
      </w:r>
      <w:r>
        <w:rPr>
          <w:rFonts w:hint="eastAsia"/>
          <w:color w:val="auto"/>
        </w:rPr>
        <w:t>，</w:t>
      </w:r>
      <w:r>
        <w:rPr>
          <w:color w:val="auto"/>
        </w:rPr>
        <w:t>2011年7月1日起施行</w:t>
      </w:r>
      <w:r>
        <w:rPr>
          <w:rFonts w:hint="eastAsia"/>
          <w:color w:val="auto"/>
        </w:rPr>
        <w:t>）</w:t>
      </w:r>
    </w:p>
    <w:p>
      <w:pPr>
        <w:rPr>
          <w:color w:val="auto"/>
        </w:rPr>
      </w:pPr>
      <w:r>
        <w:rPr>
          <w:color w:val="auto"/>
        </w:rPr>
        <w:t>（2）</w:t>
      </w:r>
      <w:r>
        <w:rPr>
          <w:rFonts w:hint="eastAsia"/>
          <w:color w:val="auto"/>
        </w:rPr>
        <w:t>全国人民代表大会常务委员会</w:t>
      </w:r>
      <w:r>
        <w:rPr>
          <w:color w:val="auto"/>
        </w:rPr>
        <w:t>《中华人民共和国节约能源法》</w:t>
      </w:r>
      <w:r>
        <w:rPr>
          <w:rFonts w:hint="eastAsia"/>
          <w:color w:val="auto"/>
        </w:rPr>
        <w:t>（</w:t>
      </w:r>
      <w:r>
        <w:rPr>
          <w:color w:val="auto"/>
        </w:rPr>
        <w:t>中华人民共和国主席令第</w:t>
      </w:r>
      <w:r>
        <w:rPr>
          <w:rFonts w:hint="eastAsia"/>
          <w:color w:val="auto"/>
        </w:rPr>
        <w:t>四十八</w:t>
      </w:r>
      <w:r>
        <w:rPr>
          <w:color w:val="auto"/>
        </w:rPr>
        <w:t>号</w:t>
      </w:r>
      <w:r>
        <w:rPr>
          <w:rFonts w:hint="eastAsia"/>
          <w:color w:val="auto"/>
        </w:rPr>
        <w:t>，2016年9月1日起施行）</w:t>
      </w:r>
    </w:p>
    <w:p>
      <w:pPr>
        <w:rPr>
          <w:color w:val="auto"/>
        </w:rPr>
      </w:pPr>
      <w:r>
        <w:rPr>
          <w:color w:val="auto"/>
        </w:rPr>
        <w:t>（3）</w:t>
      </w:r>
      <w:r>
        <w:rPr>
          <w:rFonts w:hint="eastAsia"/>
          <w:color w:val="auto"/>
        </w:rPr>
        <w:t>全国人民代表大会常务委员会</w:t>
      </w:r>
      <w:r>
        <w:rPr>
          <w:color w:val="auto"/>
        </w:rPr>
        <w:t>《中华人民共和国可再生能源法》</w:t>
      </w:r>
      <w:r>
        <w:rPr>
          <w:rFonts w:hint="eastAsia"/>
          <w:color w:val="auto"/>
        </w:rPr>
        <w:t>（中华人民共和国主席令第二十三号，2010年4月1日起施行）</w:t>
      </w:r>
    </w:p>
    <w:p>
      <w:pPr>
        <w:rPr>
          <w:color w:val="auto"/>
        </w:rPr>
      </w:pPr>
      <w:r>
        <w:rPr>
          <w:rFonts w:hint="eastAsia"/>
          <w:color w:val="auto"/>
        </w:rPr>
        <w:t>（4）国务院办公厅关于印发《能源发展战略行动计划（2014-2020）》的通知（国办发[2014]31号）</w:t>
      </w:r>
    </w:p>
    <w:p>
      <w:pPr>
        <w:rPr>
          <w:color w:val="auto"/>
        </w:rPr>
      </w:pPr>
      <w:r>
        <w:rPr>
          <w:rFonts w:hint="eastAsia"/>
          <w:color w:val="auto"/>
        </w:rPr>
        <w:t>（5）</w:t>
      </w:r>
      <w:r>
        <w:rPr>
          <w:color w:val="auto"/>
        </w:rPr>
        <w:t>《固定资产投资项目节能评估和审查办法》(国家发展和改革委员会2016年第44号令)。</w:t>
      </w:r>
      <w:bookmarkStart w:id="70" w:name="_bookmark7"/>
      <w:bookmarkEnd w:id="70"/>
    </w:p>
    <w:p>
      <w:pPr>
        <w:rPr>
          <w:color w:val="auto"/>
        </w:rPr>
      </w:pPr>
      <w:r>
        <w:rPr>
          <w:color w:val="auto"/>
        </w:rPr>
        <w:t>（</w:t>
      </w:r>
      <w:r>
        <w:rPr>
          <w:rFonts w:hint="eastAsia"/>
          <w:color w:val="auto"/>
        </w:rPr>
        <w:t>6</w:t>
      </w:r>
      <w:r>
        <w:rPr>
          <w:color w:val="auto"/>
        </w:rPr>
        <w:t>）</w:t>
      </w:r>
      <w:r>
        <w:rPr>
          <w:rFonts w:hint="eastAsia"/>
          <w:color w:val="auto"/>
        </w:rPr>
        <w:t>住房城乡建设部关于印发</w:t>
      </w:r>
      <w:r>
        <w:rPr>
          <w:color w:val="auto"/>
        </w:rPr>
        <w:t>《</w:t>
      </w:r>
      <w:r>
        <w:rPr>
          <w:rFonts w:hint="eastAsia"/>
          <w:color w:val="auto"/>
        </w:rPr>
        <w:t>建筑节能与绿色建筑发展“</w:t>
      </w:r>
      <w:r>
        <w:rPr>
          <w:color w:val="auto"/>
        </w:rPr>
        <w:t>十三五</w:t>
      </w:r>
      <w:r>
        <w:rPr>
          <w:rFonts w:hint="eastAsia"/>
          <w:color w:val="auto"/>
        </w:rPr>
        <w:t>”</w:t>
      </w:r>
      <w:r>
        <w:rPr>
          <w:color w:val="auto"/>
        </w:rPr>
        <w:t>规划》</w:t>
      </w:r>
      <w:r>
        <w:rPr>
          <w:rFonts w:hint="eastAsia"/>
          <w:color w:val="auto"/>
        </w:rPr>
        <w:t>的通知（建科[2017]53号）</w:t>
      </w:r>
    </w:p>
    <w:p>
      <w:pPr>
        <w:pStyle w:val="4"/>
        <w:rPr>
          <w:color w:val="auto"/>
        </w:rPr>
      </w:pPr>
      <w:bookmarkStart w:id="71" w:name="_Toc17893"/>
      <w:bookmarkStart w:id="72" w:name="_Toc342491558"/>
      <w:bookmarkStart w:id="73" w:name="_Toc494555754"/>
      <w:bookmarkStart w:id="74" w:name="_Toc346717798"/>
      <w:bookmarkStart w:id="75" w:name="_Toc6440"/>
      <w:bookmarkStart w:id="76" w:name="_Toc343691957"/>
      <w:bookmarkStart w:id="77" w:name="_Toc346465474"/>
      <w:bookmarkStart w:id="78" w:name="_Toc687"/>
      <w:bookmarkStart w:id="79" w:name="_Toc343617549"/>
      <w:bookmarkStart w:id="80" w:name="_Toc31878"/>
      <w:bookmarkStart w:id="81" w:name="_Toc9794"/>
      <w:r>
        <w:rPr>
          <w:rFonts w:hint="eastAsia"/>
          <w:color w:val="auto"/>
        </w:rPr>
        <w:t>1.3.</w:t>
      </w:r>
      <w:r>
        <w:rPr>
          <w:color w:val="auto"/>
        </w:rPr>
        <w:t>2</w:t>
      </w:r>
      <w:r>
        <w:rPr>
          <w:rFonts w:hint="eastAsia"/>
          <w:color w:val="auto"/>
        </w:rPr>
        <w:t xml:space="preserve"> 法律、法规、规章</w:t>
      </w:r>
      <w:bookmarkEnd w:id="71"/>
      <w:bookmarkEnd w:id="72"/>
      <w:bookmarkEnd w:id="73"/>
      <w:bookmarkEnd w:id="74"/>
      <w:bookmarkEnd w:id="75"/>
      <w:bookmarkEnd w:id="76"/>
      <w:bookmarkEnd w:id="77"/>
      <w:bookmarkEnd w:id="78"/>
      <w:bookmarkEnd w:id="79"/>
      <w:r>
        <w:rPr>
          <w:rFonts w:hint="eastAsia"/>
          <w:color w:val="auto"/>
        </w:rPr>
        <w:t>（省级层面）</w:t>
      </w:r>
      <w:bookmarkEnd w:id="80"/>
      <w:bookmarkEnd w:id="81"/>
    </w:p>
    <w:p>
      <w:pPr>
        <w:rPr>
          <w:color w:val="auto"/>
        </w:rPr>
      </w:pPr>
      <w:r>
        <w:rPr>
          <w:color w:val="auto"/>
        </w:rPr>
        <w:t>（1）</w:t>
      </w:r>
      <w:r>
        <w:rPr>
          <w:rFonts w:hint="eastAsia"/>
          <w:color w:val="auto"/>
        </w:rPr>
        <w:t>海南省人民政府</w:t>
      </w:r>
      <w:r>
        <w:rPr>
          <w:color w:val="auto"/>
        </w:rPr>
        <w:t>《海南省总体规划（2015-2030）》</w:t>
      </w:r>
      <w:r>
        <w:rPr>
          <w:rFonts w:hint="eastAsia"/>
          <w:color w:val="auto"/>
        </w:rPr>
        <w:t>2015年9月</w:t>
      </w:r>
    </w:p>
    <w:p>
      <w:pPr>
        <w:rPr>
          <w:color w:val="auto"/>
        </w:rPr>
      </w:pPr>
      <w:r>
        <w:rPr>
          <w:color w:val="auto"/>
        </w:rPr>
        <w:t>（</w:t>
      </w:r>
      <w:r>
        <w:rPr>
          <w:rFonts w:hint="eastAsia"/>
          <w:color w:val="auto"/>
        </w:rPr>
        <w:t>2</w:t>
      </w:r>
      <w:r>
        <w:rPr>
          <w:color w:val="auto"/>
        </w:rPr>
        <w:t>）</w:t>
      </w:r>
      <w:r>
        <w:rPr>
          <w:rFonts w:hint="eastAsia"/>
          <w:color w:val="auto"/>
        </w:rPr>
        <w:t>海南省住房和城乡建设厅关于印发</w:t>
      </w:r>
      <w:r>
        <w:rPr>
          <w:color w:val="auto"/>
        </w:rPr>
        <w:t>《海南省建筑业中长期发展规划（2011-2020）》</w:t>
      </w:r>
      <w:r>
        <w:rPr>
          <w:rFonts w:hint="eastAsia"/>
          <w:color w:val="auto"/>
        </w:rPr>
        <w:t>的通知（琼建管[2011]142号）</w:t>
      </w:r>
    </w:p>
    <w:p>
      <w:pPr>
        <w:rPr>
          <w:color w:val="auto"/>
        </w:rPr>
      </w:pPr>
      <w:r>
        <w:rPr>
          <w:color w:val="auto"/>
        </w:rPr>
        <w:t>（</w:t>
      </w:r>
      <w:r>
        <w:rPr>
          <w:rFonts w:hint="eastAsia"/>
          <w:color w:val="auto"/>
        </w:rPr>
        <w:t>5</w:t>
      </w:r>
      <w:r>
        <w:rPr>
          <w:color w:val="auto"/>
        </w:rPr>
        <w:t>）</w:t>
      </w:r>
      <w:r>
        <w:rPr>
          <w:rFonts w:hint="eastAsia"/>
          <w:color w:val="auto"/>
        </w:rPr>
        <w:t>海南省人民代表大会常务委员会</w:t>
      </w:r>
      <w:r>
        <w:rPr>
          <w:color w:val="auto"/>
        </w:rPr>
        <w:t>《海南省节约能源条例》</w:t>
      </w:r>
      <w:r>
        <w:rPr>
          <w:rFonts w:hint="eastAsia"/>
          <w:color w:val="auto"/>
        </w:rPr>
        <w:t>（</w:t>
      </w:r>
      <w:r>
        <w:rPr>
          <w:color w:val="auto"/>
        </w:rPr>
        <w:t>公告第60号</w:t>
      </w:r>
      <w:r>
        <w:rPr>
          <w:rFonts w:hint="eastAsia"/>
          <w:color w:val="auto"/>
        </w:rPr>
        <w:t>）</w:t>
      </w:r>
    </w:p>
    <w:p>
      <w:pPr>
        <w:rPr>
          <w:color w:val="auto"/>
        </w:rPr>
      </w:pPr>
      <w:r>
        <w:rPr>
          <w:color w:val="auto"/>
        </w:rPr>
        <w:t>（</w:t>
      </w:r>
      <w:r>
        <w:rPr>
          <w:rFonts w:hint="eastAsia"/>
          <w:color w:val="auto"/>
        </w:rPr>
        <w:t>6</w:t>
      </w:r>
      <w:r>
        <w:rPr>
          <w:color w:val="auto"/>
        </w:rPr>
        <w:t>）</w:t>
      </w:r>
      <w:r>
        <w:rPr>
          <w:rFonts w:hint="eastAsia"/>
          <w:color w:val="auto"/>
        </w:rPr>
        <w:t>海南省人民政府</w:t>
      </w:r>
      <w:r>
        <w:rPr>
          <w:color w:val="auto"/>
        </w:rPr>
        <w:t>《海南省节能监察暂行办法》</w:t>
      </w:r>
      <w:r>
        <w:rPr>
          <w:rFonts w:hint="eastAsia"/>
          <w:color w:val="auto"/>
        </w:rPr>
        <w:t>（</w:t>
      </w:r>
      <w:r>
        <w:rPr>
          <w:color w:val="auto"/>
        </w:rPr>
        <w:t>海南省人民政府令255号</w:t>
      </w:r>
      <w:r>
        <w:rPr>
          <w:rFonts w:hint="eastAsia"/>
          <w:color w:val="auto"/>
        </w:rPr>
        <w:t>）</w:t>
      </w:r>
    </w:p>
    <w:p>
      <w:pPr>
        <w:rPr>
          <w:color w:val="auto"/>
        </w:rPr>
      </w:pPr>
      <w:r>
        <w:rPr>
          <w:color w:val="auto"/>
        </w:rPr>
        <w:t>（</w:t>
      </w:r>
      <w:r>
        <w:rPr>
          <w:rFonts w:hint="eastAsia"/>
          <w:color w:val="auto"/>
        </w:rPr>
        <w:t>7</w:t>
      </w:r>
      <w:r>
        <w:rPr>
          <w:color w:val="auto"/>
        </w:rPr>
        <w:t>）</w:t>
      </w:r>
      <w:r>
        <w:rPr>
          <w:rFonts w:hint="eastAsia"/>
          <w:color w:val="auto"/>
        </w:rPr>
        <w:t>海南省人民政府</w:t>
      </w:r>
      <w:r>
        <w:rPr>
          <w:color w:val="auto"/>
        </w:rPr>
        <w:t>《海南省太阳能热水系统建筑应用管理办法》</w:t>
      </w:r>
      <w:r>
        <w:rPr>
          <w:rFonts w:hint="eastAsia"/>
          <w:color w:val="auto"/>
        </w:rPr>
        <w:t>（</w:t>
      </w:r>
      <w:r>
        <w:rPr>
          <w:color w:val="auto"/>
        </w:rPr>
        <w:t>海南省人民政府令第227号</w:t>
      </w:r>
      <w:r>
        <w:rPr>
          <w:rFonts w:hint="eastAsia"/>
          <w:color w:val="auto"/>
        </w:rPr>
        <w:t>）</w:t>
      </w:r>
    </w:p>
    <w:p>
      <w:pPr>
        <w:rPr>
          <w:color w:val="auto"/>
        </w:rPr>
      </w:pPr>
      <w:r>
        <w:rPr>
          <w:color w:val="auto"/>
        </w:rPr>
        <w:t>（</w:t>
      </w:r>
      <w:r>
        <w:rPr>
          <w:rFonts w:hint="eastAsia"/>
          <w:color w:val="auto"/>
        </w:rPr>
        <w:t>8</w:t>
      </w:r>
      <w:r>
        <w:rPr>
          <w:color w:val="auto"/>
        </w:rPr>
        <w:t>）</w:t>
      </w:r>
      <w:r>
        <w:rPr>
          <w:rFonts w:hint="eastAsia"/>
          <w:color w:val="auto"/>
        </w:rPr>
        <w:t>海南省人民政府办公厅《关于转发海南省绿色建筑行动实施方案的通知》(琼府办[2013]96号)</w:t>
      </w:r>
    </w:p>
    <w:p>
      <w:pPr>
        <w:rPr>
          <w:color w:val="auto"/>
        </w:rPr>
      </w:pPr>
      <w:r>
        <w:rPr>
          <w:color w:val="auto"/>
        </w:rPr>
        <w:t>（</w:t>
      </w:r>
      <w:r>
        <w:rPr>
          <w:rFonts w:hint="eastAsia"/>
          <w:color w:val="auto"/>
        </w:rPr>
        <w:t>9</w:t>
      </w:r>
      <w:r>
        <w:rPr>
          <w:color w:val="auto"/>
        </w:rPr>
        <w:t>）</w:t>
      </w:r>
      <w:r>
        <w:rPr>
          <w:rFonts w:hint="eastAsia"/>
          <w:color w:val="auto"/>
        </w:rPr>
        <w:t>海南省人民政府办公厅关于印发</w:t>
      </w:r>
      <w:r>
        <w:rPr>
          <w:color w:val="auto"/>
        </w:rPr>
        <w:t>《海南省节能减排综合示范试点实施方案》</w:t>
      </w:r>
      <w:r>
        <w:rPr>
          <w:rFonts w:hint="eastAsia"/>
          <w:color w:val="auto"/>
        </w:rPr>
        <w:t>的通知（</w:t>
      </w:r>
      <w:r>
        <w:rPr>
          <w:color w:val="auto"/>
        </w:rPr>
        <w:t>琼府办[2014]48</w:t>
      </w:r>
      <w:r>
        <w:rPr>
          <w:rFonts w:hint="eastAsia"/>
          <w:color w:val="auto"/>
        </w:rPr>
        <w:t>）</w:t>
      </w:r>
    </w:p>
    <w:p>
      <w:pPr>
        <w:rPr>
          <w:color w:val="auto"/>
        </w:rPr>
      </w:pPr>
      <w:r>
        <w:rPr>
          <w:color w:val="auto"/>
        </w:rPr>
        <w:t>（1</w:t>
      </w:r>
      <w:r>
        <w:rPr>
          <w:rFonts w:hint="eastAsia"/>
          <w:color w:val="auto"/>
        </w:rPr>
        <w:t>0</w:t>
      </w:r>
      <w:r>
        <w:rPr>
          <w:color w:val="auto"/>
        </w:rPr>
        <w:t>）</w:t>
      </w:r>
      <w:r>
        <w:rPr>
          <w:rFonts w:hint="eastAsia"/>
          <w:color w:val="auto"/>
        </w:rPr>
        <w:t>海南省人民政府办公厅关于印发</w:t>
      </w:r>
      <w:r>
        <w:rPr>
          <w:color w:val="auto"/>
        </w:rPr>
        <w:t>《海南省关于促进建筑产业现代化发展的指导意见》</w:t>
      </w:r>
      <w:r>
        <w:rPr>
          <w:rFonts w:hint="eastAsia"/>
          <w:color w:val="auto"/>
        </w:rPr>
        <w:t>的通知（</w:t>
      </w:r>
      <w:r>
        <w:rPr>
          <w:color w:val="auto"/>
        </w:rPr>
        <w:t>琼府办[2016]48号</w:t>
      </w:r>
      <w:r>
        <w:rPr>
          <w:rFonts w:hint="eastAsia"/>
          <w:color w:val="auto"/>
        </w:rPr>
        <w:t>）</w:t>
      </w:r>
    </w:p>
    <w:p>
      <w:pPr>
        <w:rPr>
          <w:color w:val="auto"/>
        </w:rPr>
      </w:pPr>
      <w:r>
        <w:rPr>
          <w:color w:val="auto"/>
        </w:rPr>
        <w:t>（1</w:t>
      </w:r>
      <w:r>
        <w:rPr>
          <w:rFonts w:hint="eastAsia"/>
          <w:color w:val="auto"/>
        </w:rPr>
        <w:t>1</w:t>
      </w:r>
      <w:r>
        <w:rPr>
          <w:color w:val="auto"/>
        </w:rPr>
        <w:t>）《</w:t>
      </w:r>
      <w:r>
        <w:rPr>
          <w:rFonts w:hint="eastAsia"/>
          <w:color w:val="auto"/>
        </w:rPr>
        <w:t>海南省人民政府办公厅</w:t>
      </w:r>
      <w:r>
        <w:rPr>
          <w:color w:val="auto"/>
        </w:rPr>
        <w:t>关于推进海绵城市建设的实施意见》琼府办[2016]58号</w:t>
      </w:r>
    </w:p>
    <w:p>
      <w:pPr>
        <w:rPr>
          <w:color w:val="auto"/>
        </w:rPr>
      </w:pPr>
      <w:r>
        <w:rPr>
          <w:rFonts w:hint="eastAsia"/>
          <w:color w:val="auto"/>
        </w:rPr>
        <w:t>（12）《海南省人民政府关于进一步深化“两个暂停”政策促进房地产业平稳健康发展的意见》琼府[2017]76号</w:t>
      </w:r>
    </w:p>
    <w:p>
      <w:pPr>
        <w:rPr>
          <w:color w:val="auto"/>
        </w:rPr>
      </w:pPr>
      <w:r>
        <w:rPr>
          <w:color w:val="auto"/>
        </w:rPr>
        <w:t>（</w:t>
      </w:r>
      <w:r>
        <w:rPr>
          <w:rFonts w:hint="eastAsia"/>
          <w:color w:val="auto"/>
        </w:rPr>
        <w:t>13</w:t>
      </w:r>
      <w:r>
        <w:rPr>
          <w:color w:val="auto"/>
        </w:rPr>
        <w:t>）</w:t>
      </w:r>
      <w:r>
        <w:rPr>
          <w:rFonts w:hint="eastAsia"/>
          <w:color w:val="auto"/>
        </w:rPr>
        <w:t>海南省住房和城乡建设厅海南省发展和改革委员会关于印发</w:t>
      </w:r>
      <w:r>
        <w:rPr>
          <w:color w:val="auto"/>
        </w:rPr>
        <w:t>《海南省住房和城乡建设</w:t>
      </w:r>
      <w:r>
        <w:rPr>
          <w:rFonts w:hint="eastAsia"/>
          <w:color w:val="auto"/>
        </w:rPr>
        <w:t>事业</w:t>
      </w:r>
      <w:r>
        <w:rPr>
          <w:rFonts w:hint="eastAsia" w:asciiTheme="minorEastAsia" w:hAnsiTheme="minorEastAsia" w:eastAsiaTheme="minorEastAsia" w:cstheme="minorEastAsia"/>
          <w:color w:val="auto"/>
        </w:rPr>
        <w:t>“十三五”</w:t>
      </w:r>
      <w:r>
        <w:rPr>
          <w:color w:val="auto"/>
        </w:rPr>
        <w:t>规划》</w:t>
      </w:r>
      <w:r>
        <w:rPr>
          <w:rFonts w:hint="eastAsia"/>
          <w:color w:val="auto"/>
        </w:rPr>
        <w:t>的通知（琼建发[2016]198号）</w:t>
      </w:r>
    </w:p>
    <w:p>
      <w:pPr>
        <w:rPr>
          <w:color w:val="auto"/>
        </w:rPr>
      </w:pPr>
      <w:r>
        <w:rPr>
          <w:color w:val="auto"/>
        </w:rPr>
        <w:t>（</w:t>
      </w:r>
      <w:r>
        <w:rPr>
          <w:rFonts w:hint="eastAsia"/>
          <w:color w:val="auto"/>
        </w:rPr>
        <w:t>14</w:t>
      </w:r>
      <w:r>
        <w:rPr>
          <w:color w:val="auto"/>
        </w:rPr>
        <w:t>）</w:t>
      </w:r>
      <w:r>
        <w:rPr>
          <w:rFonts w:hint="eastAsia"/>
          <w:color w:val="auto"/>
        </w:rPr>
        <w:t>海南省住房和城乡建设厅关于印发</w:t>
      </w:r>
      <w:r>
        <w:rPr>
          <w:color w:val="auto"/>
        </w:rPr>
        <w:t>《海南省建筑节能与建设科技</w:t>
      </w:r>
      <w:r>
        <w:rPr>
          <w:rFonts w:hint="eastAsia"/>
          <w:color w:val="auto"/>
        </w:rPr>
        <w:t>“十三五”</w:t>
      </w:r>
      <w:r>
        <w:rPr>
          <w:color w:val="auto"/>
        </w:rPr>
        <w:t>发展规划》</w:t>
      </w:r>
      <w:r>
        <w:rPr>
          <w:rFonts w:hint="eastAsia"/>
          <w:color w:val="auto"/>
        </w:rPr>
        <w:t>的通知（琼建科[2017]230号）</w:t>
      </w:r>
    </w:p>
    <w:p>
      <w:pPr>
        <w:rPr>
          <w:color w:val="auto"/>
        </w:rPr>
      </w:pPr>
      <w:r>
        <w:rPr>
          <w:color w:val="auto"/>
        </w:rPr>
        <w:t>（</w:t>
      </w:r>
      <w:r>
        <w:rPr>
          <w:rFonts w:hint="eastAsia"/>
          <w:color w:val="auto"/>
        </w:rPr>
        <w:t>15</w:t>
      </w:r>
      <w:r>
        <w:rPr>
          <w:color w:val="auto"/>
        </w:rPr>
        <w:t>）《</w:t>
      </w:r>
      <w:r>
        <w:rPr>
          <w:rFonts w:hint="eastAsia"/>
          <w:color w:val="auto"/>
        </w:rPr>
        <w:t>海南省住房和城乡建设厅</w:t>
      </w:r>
      <w:r>
        <w:rPr>
          <w:color w:val="auto"/>
        </w:rPr>
        <w:t>关于加快推进绿色建筑发展的意见》</w:t>
      </w:r>
      <w:r>
        <w:rPr>
          <w:rFonts w:hint="eastAsia"/>
          <w:color w:val="auto"/>
        </w:rPr>
        <w:t>（</w:t>
      </w:r>
      <w:r>
        <w:rPr>
          <w:color w:val="auto"/>
        </w:rPr>
        <w:t>琼建科[2016]160号</w:t>
      </w:r>
      <w:r>
        <w:rPr>
          <w:rFonts w:hint="eastAsia"/>
          <w:color w:val="auto"/>
        </w:rPr>
        <w:t>）</w:t>
      </w:r>
    </w:p>
    <w:p>
      <w:pPr>
        <w:rPr>
          <w:color w:val="auto"/>
        </w:rPr>
      </w:pPr>
      <w:r>
        <w:rPr>
          <w:rFonts w:hint="eastAsia"/>
          <w:color w:val="auto"/>
        </w:rPr>
        <w:t>（16）《海南省人民政府关于大力发展装配式建筑的实施意见》（琼府[2017]100号）</w:t>
      </w:r>
    </w:p>
    <w:p>
      <w:pPr>
        <w:rPr>
          <w:color w:val="auto"/>
        </w:rPr>
      </w:pPr>
      <w:r>
        <w:rPr>
          <w:rFonts w:hint="eastAsia"/>
          <w:color w:val="auto"/>
        </w:rPr>
        <w:t>（18）海南省住房和城乡建设厅关于印发《海南省商品住宅全装修管理办法》（试行）的通知（琼建质[2017]131号）</w:t>
      </w:r>
    </w:p>
    <w:p>
      <w:pPr>
        <w:rPr>
          <w:color w:val="auto"/>
        </w:rPr>
      </w:pPr>
      <w:r>
        <w:rPr>
          <w:rFonts w:hint="eastAsia"/>
          <w:color w:val="auto"/>
        </w:rPr>
        <w:t>（19）海南省住房和城乡建设厅海南省工业和信息化厅海南省机关事务管理局关于印发《海南省国家机关办公建筑和大型公共建筑能耗监测系统管理办法》的通知（琼建科[2017]330号）</w:t>
      </w:r>
      <w:bookmarkStart w:id="82" w:name="_Toc30662"/>
      <w:bookmarkStart w:id="83" w:name="_Toc342491559"/>
      <w:bookmarkStart w:id="84" w:name="_Toc346465475"/>
      <w:bookmarkStart w:id="85" w:name="_Toc25721"/>
      <w:bookmarkStart w:id="86" w:name="_Toc494555755"/>
      <w:bookmarkStart w:id="87" w:name="_Toc343691958"/>
      <w:bookmarkStart w:id="88" w:name="_Toc346717799"/>
      <w:bookmarkStart w:id="89" w:name="_Toc343617550"/>
    </w:p>
    <w:p>
      <w:pPr>
        <w:rPr>
          <w:color w:val="auto"/>
        </w:rPr>
      </w:pPr>
      <w:r>
        <w:rPr>
          <w:rFonts w:hint="eastAsia"/>
          <w:color w:val="auto"/>
        </w:rPr>
        <w:t>（20）海南省人民政府关于印发《海南省“十三五”节能减排综合工作实施方案》的通知（琼府〔2017〕51号）</w:t>
      </w:r>
    </w:p>
    <w:p>
      <w:pPr>
        <w:pStyle w:val="4"/>
        <w:rPr>
          <w:color w:val="auto"/>
        </w:rPr>
      </w:pPr>
      <w:bookmarkStart w:id="90" w:name="_Toc20758"/>
      <w:bookmarkStart w:id="91" w:name="_Toc13877"/>
      <w:bookmarkStart w:id="92" w:name="_Toc11592"/>
      <w:r>
        <w:rPr>
          <w:rFonts w:hint="eastAsia"/>
          <w:color w:val="auto"/>
        </w:rPr>
        <w:t>1.3.</w:t>
      </w:r>
      <w:r>
        <w:rPr>
          <w:color w:val="auto"/>
        </w:rPr>
        <w:t>3</w:t>
      </w:r>
      <w:r>
        <w:rPr>
          <w:rFonts w:hint="eastAsia"/>
          <w:color w:val="auto"/>
        </w:rPr>
        <w:t xml:space="preserve"> </w:t>
      </w:r>
      <w:r>
        <w:rPr>
          <w:color w:val="auto"/>
        </w:rPr>
        <w:t>市级层面</w:t>
      </w:r>
      <w:bookmarkEnd w:id="82"/>
      <w:bookmarkEnd w:id="83"/>
      <w:bookmarkEnd w:id="84"/>
      <w:bookmarkEnd w:id="85"/>
      <w:bookmarkEnd w:id="86"/>
      <w:bookmarkEnd w:id="87"/>
      <w:bookmarkEnd w:id="88"/>
      <w:bookmarkEnd w:id="89"/>
      <w:bookmarkEnd w:id="90"/>
      <w:bookmarkEnd w:id="91"/>
      <w:bookmarkEnd w:id="92"/>
    </w:p>
    <w:p>
      <w:pPr>
        <w:rPr>
          <w:color w:val="auto"/>
        </w:rPr>
      </w:pPr>
      <w:r>
        <w:rPr>
          <w:color w:val="auto"/>
        </w:rPr>
        <w:t>（1）《</w:t>
      </w:r>
      <w:r>
        <w:rPr>
          <w:rFonts w:hint="eastAsia"/>
          <w:color w:val="auto"/>
        </w:rPr>
        <w:t>三亚</w:t>
      </w:r>
      <w:r>
        <w:rPr>
          <w:color w:val="auto"/>
        </w:rPr>
        <w:t>市总体规划(</w:t>
      </w:r>
      <w:r>
        <w:rPr>
          <w:rFonts w:hint="eastAsia"/>
          <w:color w:val="auto"/>
        </w:rPr>
        <w:t>空间类</w:t>
      </w:r>
      <w:r>
        <w:rPr>
          <w:color w:val="auto"/>
        </w:rPr>
        <w:t>2015-2030)》</w:t>
      </w:r>
    </w:p>
    <w:p>
      <w:pPr>
        <w:rPr>
          <w:color w:val="auto"/>
        </w:rPr>
      </w:pPr>
      <w:r>
        <w:rPr>
          <w:color w:val="auto"/>
        </w:rPr>
        <w:t>（2）《</w:t>
      </w:r>
      <w:r>
        <w:rPr>
          <w:rFonts w:hint="eastAsia"/>
          <w:color w:val="auto"/>
        </w:rPr>
        <w:t>三亚</w:t>
      </w:r>
      <w:r>
        <w:rPr>
          <w:color w:val="auto"/>
        </w:rPr>
        <w:t>市城市总体规划(2011-2020)》</w:t>
      </w:r>
    </w:p>
    <w:p>
      <w:pPr>
        <w:rPr>
          <w:color w:val="auto"/>
        </w:rPr>
      </w:pPr>
      <w:r>
        <w:rPr>
          <w:rFonts w:hint="eastAsia"/>
          <w:color w:val="auto"/>
        </w:rPr>
        <w:t>（3）</w:t>
      </w:r>
      <w:r>
        <w:rPr>
          <w:color w:val="auto"/>
        </w:rPr>
        <w:t>三亚市人民政府办公室关于印发《三亚市绿色建筑行动计划》的通知</w:t>
      </w:r>
      <w:r>
        <w:rPr>
          <w:rFonts w:hint="eastAsia"/>
          <w:color w:val="auto"/>
        </w:rPr>
        <w:t>（</w:t>
      </w:r>
      <w:r>
        <w:rPr>
          <w:color w:val="auto"/>
        </w:rPr>
        <w:t>三府办</w:t>
      </w:r>
      <w:r>
        <w:rPr>
          <w:rFonts w:hint="eastAsia"/>
          <w:color w:val="auto"/>
        </w:rPr>
        <w:t>[</w:t>
      </w:r>
      <w:r>
        <w:rPr>
          <w:color w:val="auto"/>
        </w:rPr>
        <w:t>2015</w:t>
      </w:r>
      <w:r>
        <w:rPr>
          <w:rFonts w:hint="eastAsia"/>
          <w:color w:val="auto"/>
        </w:rPr>
        <w:t>]</w:t>
      </w:r>
      <w:r>
        <w:rPr>
          <w:color w:val="auto"/>
        </w:rPr>
        <w:t>27号</w:t>
      </w:r>
      <w:r>
        <w:rPr>
          <w:rFonts w:hint="eastAsia"/>
          <w:color w:val="auto"/>
        </w:rPr>
        <w:t>）</w:t>
      </w:r>
    </w:p>
    <w:p>
      <w:pPr>
        <w:rPr>
          <w:color w:val="auto"/>
        </w:rPr>
      </w:pPr>
      <w:r>
        <w:rPr>
          <w:color w:val="auto"/>
        </w:rPr>
        <w:t>（</w:t>
      </w:r>
      <w:r>
        <w:rPr>
          <w:rFonts w:hint="eastAsia"/>
          <w:color w:val="auto"/>
        </w:rPr>
        <w:t>4</w:t>
      </w:r>
      <w:r>
        <w:rPr>
          <w:color w:val="auto"/>
        </w:rPr>
        <w:t>）</w:t>
      </w:r>
      <w:r>
        <w:rPr>
          <w:rFonts w:hint="eastAsia"/>
          <w:color w:val="auto"/>
        </w:rPr>
        <w:t>三亚市人民政府</w:t>
      </w:r>
      <w:r>
        <w:rPr>
          <w:color w:val="auto"/>
        </w:rPr>
        <w:t>关于印发《三亚市太阳能热水系统建筑应用管理办法的通知》</w:t>
      </w:r>
      <w:r>
        <w:rPr>
          <w:rFonts w:hint="eastAsia"/>
          <w:color w:val="auto"/>
        </w:rPr>
        <w:t>（</w:t>
      </w:r>
      <w:r>
        <w:rPr>
          <w:color w:val="auto"/>
        </w:rPr>
        <w:t>三府</w:t>
      </w:r>
      <w:r>
        <w:rPr>
          <w:rFonts w:hint="eastAsia"/>
          <w:color w:val="auto"/>
        </w:rPr>
        <w:t>[</w:t>
      </w:r>
      <w:r>
        <w:rPr>
          <w:color w:val="auto"/>
        </w:rPr>
        <w:t>2017</w:t>
      </w:r>
      <w:r>
        <w:rPr>
          <w:rFonts w:hint="eastAsia"/>
          <w:color w:val="auto"/>
        </w:rPr>
        <w:t>]</w:t>
      </w:r>
      <w:r>
        <w:rPr>
          <w:color w:val="auto"/>
        </w:rPr>
        <w:t>31号</w:t>
      </w:r>
      <w:r>
        <w:rPr>
          <w:rFonts w:hint="eastAsia"/>
          <w:color w:val="auto"/>
        </w:rPr>
        <w:t>）</w:t>
      </w:r>
    </w:p>
    <w:p>
      <w:pPr>
        <w:pStyle w:val="49"/>
        <w:rPr>
          <w:color w:val="auto"/>
        </w:rPr>
      </w:pPr>
      <w:r>
        <w:rPr>
          <w:rFonts w:hint="eastAsia"/>
          <w:color w:val="auto"/>
        </w:rPr>
        <w:t>（5）三亚市人民政府</w:t>
      </w:r>
      <w:r>
        <w:rPr>
          <w:color w:val="auto"/>
        </w:rPr>
        <w:t>关于印发《三亚市</w:t>
      </w:r>
      <w:r>
        <w:rPr>
          <w:rFonts w:hint="eastAsia" w:asciiTheme="minorEastAsia" w:hAnsiTheme="minorEastAsia" w:eastAsiaTheme="minorEastAsia" w:cstheme="minorEastAsia"/>
          <w:color w:val="auto"/>
        </w:rPr>
        <w:t>“十三五”</w:t>
      </w:r>
      <w:r>
        <w:rPr>
          <w:color w:val="auto"/>
        </w:rPr>
        <w:t>国家低碳试点城市建设实施方案》的通知</w:t>
      </w:r>
      <w:r>
        <w:rPr>
          <w:rFonts w:hint="eastAsia"/>
          <w:color w:val="auto"/>
        </w:rPr>
        <w:t>（</w:t>
      </w:r>
      <w:r>
        <w:rPr>
          <w:color w:val="auto"/>
        </w:rPr>
        <w:t>三府</w:t>
      </w:r>
      <w:r>
        <w:rPr>
          <w:rFonts w:hint="eastAsia"/>
          <w:color w:val="auto"/>
        </w:rPr>
        <w:t>[</w:t>
      </w:r>
      <w:r>
        <w:rPr>
          <w:color w:val="auto"/>
        </w:rPr>
        <w:t>2017</w:t>
      </w:r>
      <w:r>
        <w:rPr>
          <w:rFonts w:hint="eastAsia"/>
          <w:color w:val="auto"/>
        </w:rPr>
        <w:t>]</w:t>
      </w:r>
      <w:r>
        <w:rPr>
          <w:color w:val="auto"/>
        </w:rPr>
        <w:t>35号</w:t>
      </w:r>
      <w:r>
        <w:rPr>
          <w:rFonts w:hint="eastAsia"/>
          <w:color w:val="auto"/>
        </w:rPr>
        <w:t>）</w:t>
      </w:r>
    </w:p>
    <w:p>
      <w:pPr>
        <w:pStyle w:val="49"/>
        <w:rPr>
          <w:color w:val="auto"/>
        </w:rPr>
      </w:pPr>
      <w:r>
        <w:rPr>
          <w:rFonts w:hint="eastAsia"/>
          <w:color w:val="auto"/>
        </w:rPr>
        <w:t>（6）《三亚市“十三五”建筑节能与绿色建筑专项规划》</w:t>
      </w:r>
    </w:p>
    <w:p>
      <w:pPr>
        <w:pStyle w:val="49"/>
        <w:rPr>
          <w:color w:val="auto"/>
        </w:rPr>
      </w:pPr>
      <w:r>
        <w:rPr>
          <w:rFonts w:hint="eastAsia"/>
          <w:color w:val="auto"/>
        </w:rPr>
        <w:t>（7）《三亚市统计年鉴2016》；《三亚市统计年鉴2019》；</w:t>
      </w:r>
    </w:p>
    <w:p>
      <w:pPr>
        <w:pStyle w:val="49"/>
        <w:rPr>
          <w:color w:val="auto"/>
        </w:rPr>
      </w:pPr>
      <w:r>
        <w:rPr>
          <w:rFonts w:hint="eastAsia"/>
          <w:color w:val="auto"/>
        </w:rPr>
        <w:t>（8）现场调研资料；</w:t>
      </w:r>
    </w:p>
    <w:p>
      <w:pPr>
        <w:pStyle w:val="49"/>
        <w:rPr>
          <w:color w:val="auto"/>
        </w:rPr>
      </w:pPr>
      <w:r>
        <w:rPr>
          <w:rFonts w:hint="eastAsia"/>
          <w:color w:val="auto"/>
        </w:rPr>
        <w:t>（9）其他。</w:t>
      </w:r>
    </w:p>
    <w:p>
      <w:pPr>
        <w:pStyle w:val="4"/>
        <w:rPr>
          <w:color w:val="auto"/>
        </w:rPr>
      </w:pPr>
      <w:bookmarkStart w:id="93" w:name="_Toc29863"/>
      <w:bookmarkStart w:id="94" w:name="_Toc26543"/>
      <w:bookmarkStart w:id="95" w:name="_Toc3525"/>
      <w:r>
        <w:rPr>
          <w:rFonts w:hint="eastAsia"/>
          <w:color w:val="auto"/>
        </w:rPr>
        <w:t>1.3.4 规范</w:t>
      </w:r>
      <w:r>
        <w:rPr>
          <w:color w:val="auto"/>
        </w:rPr>
        <w:t>及标准</w:t>
      </w:r>
      <w:bookmarkEnd w:id="93"/>
      <w:bookmarkEnd w:id="94"/>
      <w:bookmarkEnd w:id="95"/>
    </w:p>
    <w:p>
      <w:pPr>
        <w:pStyle w:val="49"/>
        <w:rPr>
          <w:color w:val="auto"/>
        </w:rPr>
      </w:pPr>
      <w:r>
        <w:rPr>
          <w:rFonts w:hint="eastAsia"/>
          <w:color w:val="auto"/>
        </w:rPr>
        <w:t>（1）《民用建筑能耗标准》（GB／T51161-2016）</w:t>
      </w:r>
    </w:p>
    <w:p>
      <w:pPr>
        <w:pStyle w:val="49"/>
        <w:rPr>
          <w:color w:val="auto"/>
        </w:rPr>
      </w:pPr>
      <w:r>
        <w:rPr>
          <w:rFonts w:hint="eastAsia"/>
          <w:color w:val="auto"/>
        </w:rPr>
        <w:t>（2）《夏热冬暖地区居住建筑节能设计标准》（JGJ75-2012）</w:t>
      </w:r>
    </w:p>
    <w:p>
      <w:pPr>
        <w:pStyle w:val="49"/>
        <w:rPr>
          <w:color w:val="auto"/>
        </w:rPr>
      </w:pPr>
      <w:r>
        <w:rPr>
          <w:rFonts w:hint="eastAsia"/>
          <w:color w:val="auto"/>
        </w:rPr>
        <w:t>（3）《公共建筑节能设计标准》（GB50189-2015）</w:t>
      </w:r>
    </w:p>
    <w:p>
      <w:pPr>
        <w:pStyle w:val="49"/>
        <w:rPr>
          <w:color w:val="auto"/>
        </w:rPr>
      </w:pPr>
      <w:r>
        <w:rPr>
          <w:rFonts w:hint="eastAsia"/>
          <w:color w:val="auto"/>
        </w:rPr>
        <w:t>（4）《旅游饭店星级的划分与评定》（GB/T14308-2010）</w:t>
      </w:r>
    </w:p>
    <w:p>
      <w:pPr>
        <w:pStyle w:val="49"/>
        <w:rPr>
          <w:color w:val="auto"/>
        </w:rPr>
      </w:pPr>
      <w:r>
        <w:rPr>
          <w:rFonts w:hint="eastAsia"/>
          <w:color w:val="auto"/>
        </w:rPr>
        <w:t>（5）《企业能源审计技术通则》（GB/T17166-1997）</w:t>
      </w:r>
    </w:p>
    <w:p>
      <w:pPr>
        <w:pStyle w:val="49"/>
        <w:rPr>
          <w:color w:val="auto"/>
        </w:rPr>
      </w:pPr>
      <w:r>
        <w:rPr>
          <w:rFonts w:hint="eastAsia"/>
          <w:color w:val="auto"/>
        </w:rPr>
        <w:t>（6）《节能监测技术通则》（GB/T15316-2009）</w:t>
      </w:r>
    </w:p>
    <w:p>
      <w:pPr>
        <w:pStyle w:val="49"/>
        <w:rPr>
          <w:color w:val="auto"/>
        </w:rPr>
      </w:pPr>
      <w:r>
        <w:rPr>
          <w:rFonts w:hint="eastAsia"/>
          <w:color w:val="auto"/>
        </w:rPr>
        <w:t>（7）《室内空气质量标准》（GB/T18883-2002）</w:t>
      </w:r>
    </w:p>
    <w:p>
      <w:pPr>
        <w:pStyle w:val="49"/>
        <w:rPr>
          <w:color w:val="auto"/>
        </w:rPr>
      </w:pPr>
      <w:r>
        <w:rPr>
          <w:rFonts w:hint="eastAsia"/>
          <w:color w:val="auto"/>
        </w:rPr>
        <w:t>（8）《建筑节能工程施工质量验收标准》（GB50411-2019）</w:t>
      </w:r>
    </w:p>
    <w:p>
      <w:pPr>
        <w:pStyle w:val="49"/>
        <w:rPr>
          <w:color w:val="auto"/>
        </w:rPr>
      </w:pPr>
      <w:r>
        <w:rPr>
          <w:rFonts w:hint="eastAsia"/>
          <w:color w:val="auto"/>
        </w:rPr>
        <w:t>（9）《海南省公共建筑节能设计标准》（DBJ46-003-2017）</w:t>
      </w:r>
    </w:p>
    <w:p>
      <w:pPr>
        <w:rPr>
          <w:color w:val="auto"/>
        </w:rPr>
      </w:pPr>
      <w:r>
        <w:rPr>
          <w:rFonts w:hint="eastAsia"/>
          <w:color w:val="auto"/>
        </w:rPr>
        <w:t>（10）《海南省建筑节能分部工程质量验收工作程序》（琼建监[2007]240号）</w:t>
      </w:r>
    </w:p>
    <w:p>
      <w:pPr>
        <w:rPr>
          <w:color w:val="auto"/>
        </w:rPr>
      </w:pPr>
      <w:r>
        <w:rPr>
          <w:rFonts w:hint="eastAsia"/>
          <w:color w:val="auto"/>
        </w:rPr>
        <w:t>（11）《行政机关能耗限额》（DB 46/T 340—2015）</w:t>
      </w:r>
    </w:p>
    <w:p>
      <w:pPr>
        <w:rPr>
          <w:color w:val="auto"/>
        </w:rPr>
      </w:pPr>
      <w:r>
        <w:rPr>
          <w:rFonts w:hint="eastAsia"/>
          <w:color w:val="auto"/>
        </w:rPr>
        <w:t>（12）《普通高等院校能耗限额》（DB 46/T 373—2016）</w:t>
      </w:r>
    </w:p>
    <w:p>
      <w:pPr>
        <w:rPr>
          <w:color w:val="auto"/>
        </w:rPr>
      </w:pPr>
      <w:r>
        <w:rPr>
          <w:rFonts w:hint="eastAsia"/>
          <w:color w:val="auto"/>
        </w:rPr>
        <w:t>（13）《商场超市单位电耗限额》（DB46 297</w:t>
      </w:r>
      <w:bookmarkStart w:id="96" w:name="OLE_LINK1"/>
      <w:r>
        <w:rPr>
          <w:rFonts w:hint="eastAsia"/>
          <w:color w:val="auto"/>
        </w:rPr>
        <w:t>—</w:t>
      </w:r>
      <w:bookmarkEnd w:id="96"/>
      <w:r>
        <w:rPr>
          <w:rFonts w:hint="eastAsia"/>
          <w:color w:val="auto"/>
        </w:rPr>
        <w:t>2014）</w:t>
      </w:r>
    </w:p>
    <w:p>
      <w:pPr>
        <w:rPr>
          <w:color w:val="auto"/>
        </w:rPr>
      </w:pPr>
      <w:r>
        <w:rPr>
          <w:rFonts w:hint="eastAsia"/>
          <w:color w:val="auto"/>
        </w:rPr>
        <w:t>（14）《海南省公共机构能耗定额标准》（DB 46/T 481—2019）</w:t>
      </w:r>
    </w:p>
    <w:p>
      <w:pPr>
        <w:rPr>
          <w:color w:val="auto"/>
        </w:rPr>
      </w:pPr>
      <w:r>
        <w:rPr>
          <w:rFonts w:hint="eastAsia"/>
          <w:color w:val="auto"/>
        </w:rPr>
        <w:t>（15）《绿色建筑评价标准》（GB/T50318—2019）</w:t>
      </w:r>
    </w:p>
    <w:p>
      <w:pPr>
        <w:rPr>
          <w:color w:val="auto"/>
        </w:rPr>
      </w:pPr>
      <w:r>
        <w:rPr>
          <w:rFonts w:hint="eastAsia"/>
          <w:color w:val="auto"/>
        </w:rPr>
        <w:t>（16）《装配式建筑评价标准》（GB/T51129-2017）</w:t>
      </w:r>
    </w:p>
    <w:p>
      <w:pPr>
        <w:rPr>
          <w:color w:val="auto"/>
        </w:rPr>
      </w:pPr>
      <w:r>
        <w:rPr>
          <w:rFonts w:hint="eastAsia"/>
          <w:color w:val="auto"/>
        </w:rPr>
        <w:t>（17）《海南省装配式建筑装配率计算规则》</w:t>
      </w:r>
    </w:p>
    <w:p>
      <w:pPr>
        <w:rPr>
          <w:color w:val="auto"/>
        </w:rPr>
      </w:pPr>
      <w:r>
        <w:rPr>
          <w:rFonts w:hint="eastAsia"/>
          <w:color w:val="auto"/>
        </w:rPr>
        <w:t>（18）《海南省装配式建筑专项规划导则》</w:t>
      </w:r>
    </w:p>
    <w:p>
      <w:pPr>
        <w:pStyle w:val="49"/>
        <w:rPr>
          <w:color w:val="auto"/>
        </w:rPr>
      </w:pPr>
    </w:p>
    <w:p>
      <w:pPr>
        <w:pStyle w:val="3"/>
        <w:spacing w:before="156" w:after="156"/>
        <w:rPr>
          <w:color w:val="auto"/>
        </w:rPr>
      </w:pPr>
      <w:bookmarkStart w:id="97" w:name="_Toc27083"/>
      <w:bookmarkStart w:id="98" w:name="_Toc4533"/>
      <w:bookmarkStart w:id="99" w:name="_Toc7346"/>
      <w:bookmarkStart w:id="100" w:name="_Toc9888"/>
      <w:r>
        <w:rPr>
          <w:color w:val="auto"/>
        </w:rPr>
        <w:t>1.</w:t>
      </w:r>
      <w:r>
        <w:rPr>
          <w:rFonts w:hint="eastAsia"/>
          <w:color w:val="auto"/>
        </w:rPr>
        <w:t xml:space="preserve">4 </w:t>
      </w:r>
      <w:r>
        <w:rPr>
          <w:color w:val="auto"/>
        </w:rPr>
        <w:t>评估内容和重点</w:t>
      </w:r>
      <w:bookmarkEnd w:id="97"/>
      <w:bookmarkEnd w:id="98"/>
      <w:bookmarkEnd w:id="99"/>
      <w:bookmarkEnd w:id="100"/>
    </w:p>
    <w:p>
      <w:pPr>
        <w:rPr>
          <w:color w:val="auto"/>
        </w:rPr>
      </w:pPr>
      <w:r>
        <w:rPr>
          <w:rFonts w:hint="eastAsia"/>
          <w:color w:val="auto"/>
        </w:rPr>
        <w:t>本次节能评估内容包括三亚市民用建筑用能现状及节能工作开展情况两部分，重点如下：</w:t>
      </w:r>
    </w:p>
    <w:p>
      <w:pPr>
        <w:rPr>
          <w:color w:val="auto"/>
        </w:rPr>
      </w:pPr>
      <w:r>
        <w:rPr>
          <w:rFonts w:hint="eastAsia"/>
          <w:color w:val="auto"/>
        </w:rPr>
        <w:t>1、调查分析三亚市区域用能现状，包括能源消耗情况、能源供应条件、能耗现状。</w:t>
      </w:r>
    </w:p>
    <w:p>
      <w:pPr>
        <w:rPr>
          <w:color w:val="auto"/>
        </w:rPr>
      </w:pPr>
      <w:r>
        <w:rPr>
          <w:rFonts w:hint="eastAsia"/>
          <w:color w:val="auto"/>
        </w:rPr>
        <w:t>2、根据三亚市现有民用建筑节能现状，调研现有民用建筑电力、燃气等能源使用现状。对照国家、海南省已颁布实施的能耗标准，对三亚市民用建筑能耗现状进行对标，对比分析三亚用能现状，评估三亚民用建筑能耗指标，提出改进措施。</w:t>
      </w:r>
    </w:p>
    <w:p>
      <w:pPr>
        <w:rPr>
          <w:color w:val="auto"/>
        </w:rPr>
      </w:pPr>
      <w:r>
        <w:rPr>
          <w:rFonts w:hint="eastAsia"/>
          <w:color w:val="auto"/>
        </w:rPr>
        <w:t>3、根据海南省、住建厅以及三亚市“十三五”规划等相关文件的节能目标要求，评估三亚节能目标完成情况，并提出改进措施。</w:t>
      </w:r>
    </w:p>
    <w:p>
      <w:pPr>
        <w:rPr>
          <w:color w:val="auto"/>
        </w:rPr>
      </w:pPr>
      <w:r>
        <w:rPr>
          <w:rFonts w:hint="eastAsia"/>
          <w:color w:val="auto"/>
        </w:rPr>
        <w:t>4、分析各类民用建筑用能现状、特点，提出三亚市民用建筑领域先进的节能技术措施，主要包括建筑、给排水、暖通与空调、电气等方面的具体节能措施。提出各项节能管理措施，包括行业能源管理体系建设、能源统计和能源计量器具配备和管理措施等。</w:t>
      </w:r>
    </w:p>
    <w:p>
      <w:pPr>
        <w:rPr>
          <w:color w:val="auto"/>
        </w:rPr>
      </w:pPr>
      <w:r>
        <w:rPr>
          <w:rFonts w:hint="eastAsia"/>
          <w:color w:val="auto"/>
        </w:rPr>
        <w:t>5、分析节能管理工作现状及问题，提出区域节能管控措施，引导项目向节能、绿色和高质量发展。</w:t>
      </w:r>
    </w:p>
    <w:p>
      <w:pPr>
        <w:rPr>
          <w:color w:val="auto"/>
        </w:rPr>
      </w:pPr>
    </w:p>
    <w:p>
      <w:pPr>
        <w:pStyle w:val="3"/>
        <w:spacing w:before="156" w:after="156"/>
        <w:rPr>
          <w:color w:val="auto"/>
        </w:rPr>
      </w:pPr>
      <w:bookmarkStart w:id="101" w:name="_Toc4582"/>
      <w:bookmarkStart w:id="102" w:name="_Toc2597"/>
      <w:bookmarkStart w:id="103" w:name="_Toc4658"/>
      <w:bookmarkStart w:id="104" w:name="_Toc718"/>
      <w:r>
        <w:rPr>
          <w:color w:val="auto"/>
        </w:rPr>
        <w:t>1.</w:t>
      </w:r>
      <w:r>
        <w:rPr>
          <w:rFonts w:hint="eastAsia"/>
          <w:color w:val="auto"/>
        </w:rPr>
        <w:t>5</w:t>
      </w:r>
      <w:r>
        <w:rPr>
          <w:color w:val="auto"/>
        </w:rPr>
        <w:t>评估原则</w:t>
      </w:r>
      <w:bookmarkEnd w:id="101"/>
      <w:bookmarkEnd w:id="102"/>
      <w:bookmarkEnd w:id="103"/>
      <w:bookmarkEnd w:id="104"/>
    </w:p>
    <w:p>
      <w:pPr>
        <w:rPr>
          <w:color w:val="auto"/>
        </w:rPr>
      </w:pPr>
      <w:bookmarkStart w:id="105" w:name="_bookmark11"/>
      <w:bookmarkEnd w:id="105"/>
      <w:r>
        <w:rPr>
          <w:rFonts w:hint="eastAsia"/>
          <w:color w:val="auto"/>
        </w:rPr>
        <w:t>节能评估要遵循独立性、客观性、科学性的工作原则。</w:t>
      </w:r>
    </w:p>
    <w:p>
      <w:pPr>
        <w:ind w:firstLine="562"/>
        <w:rPr>
          <w:color w:val="auto"/>
        </w:rPr>
      </w:pPr>
      <w:r>
        <w:rPr>
          <w:rFonts w:hint="eastAsia"/>
          <w:b/>
          <w:bCs/>
          <w:color w:val="auto"/>
        </w:rPr>
        <w:t>独立性原则</w:t>
      </w:r>
      <w:r>
        <w:rPr>
          <w:rFonts w:hint="eastAsia"/>
          <w:color w:val="auto"/>
        </w:rPr>
        <w:t>是指节能评估项目独立进行操作，不受被评项目各方当事人利益的影响，节能评估机构及其评估人员于被评各当事人没有利害关系。</w:t>
      </w:r>
    </w:p>
    <w:p>
      <w:pPr>
        <w:ind w:firstLine="562"/>
        <w:rPr>
          <w:color w:val="auto"/>
        </w:rPr>
      </w:pPr>
      <w:r>
        <w:rPr>
          <w:rFonts w:hint="eastAsia"/>
          <w:b/>
          <w:bCs/>
          <w:color w:val="auto"/>
        </w:rPr>
        <w:t>客观性原则</w:t>
      </w:r>
      <w:r>
        <w:rPr>
          <w:rFonts w:hint="eastAsia"/>
          <w:color w:val="auto"/>
        </w:rPr>
        <w:t>是指节能评估机构及其评估人员要从实际出发，认真进行分析、计算和研究，采用符合实际的数据和方法，得出合理、可行、公正的评估结论。</w:t>
      </w:r>
    </w:p>
    <w:p>
      <w:pPr>
        <w:ind w:firstLine="562"/>
        <w:rPr>
          <w:color w:val="auto"/>
        </w:rPr>
      </w:pPr>
      <w:r>
        <w:rPr>
          <w:rFonts w:hint="eastAsia"/>
          <w:b/>
          <w:bCs/>
          <w:color w:val="auto"/>
        </w:rPr>
        <w:t>科学性原则</w:t>
      </w:r>
      <w:r>
        <w:rPr>
          <w:rFonts w:hint="eastAsia"/>
          <w:color w:val="auto"/>
        </w:rPr>
        <w:t>是指在具体评估过程中，根据项目的特点，引用合</w:t>
      </w:r>
      <w:r>
        <w:rPr>
          <w:color w:val="auto"/>
          <w:spacing w:val="4"/>
        </w:rPr>
        <w:t>适的标准规范，采用科学的评估方法，保证项目用能的可靠性、合</w:t>
      </w:r>
      <w:r>
        <w:rPr>
          <w:color w:val="auto"/>
        </w:rPr>
        <w:t>理性，提高能源利用效率。</w:t>
      </w:r>
    </w:p>
    <w:p>
      <w:pPr>
        <w:pStyle w:val="2"/>
        <w:spacing w:before="156" w:after="156"/>
        <w:ind w:firstLine="640"/>
        <w:rPr>
          <w:color w:val="auto"/>
        </w:rPr>
      </w:pPr>
      <w:bookmarkStart w:id="106" w:name="_Toc15743"/>
      <w:bookmarkStart w:id="107" w:name="_Toc346717801"/>
      <w:bookmarkStart w:id="108" w:name="_Toc8696"/>
      <w:bookmarkStart w:id="109" w:name="_Toc494555756"/>
      <w:bookmarkStart w:id="110" w:name="_Toc16039"/>
      <w:bookmarkStart w:id="111" w:name="_Toc24213"/>
      <w:bookmarkStart w:id="112" w:name="_Toc6928"/>
      <w:bookmarkStart w:id="113" w:name="_Toc19246"/>
      <w:bookmarkStart w:id="114" w:name="_Toc12922"/>
      <w:r>
        <w:rPr>
          <w:rFonts w:hint="eastAsia"/>
          <w:color w:val="auto"/>
        </w:rPr>
        <w:t xml:space="preserve">第二章 </w:t>
      </w:r>
      <w:r>
        <w:rPr>
          <w:color w:val="auto"/>
        </w:rPr>
        <w:t>三亚市建筑</w:t>
      </w:r>
      <w:r>
        <w:rPr>
          <w:rFonts w:hint="eastAsia"/>
          <w:color w:val="auto"/>
        </w:rPr>
        <w:t>发展及</w:t>
      </w:r>
      <w:r>
        <w:rPr>
          <w:color w:val="auto"/>
        </w:rPr>
        <w:t>节能现状</w:t>
      </w:r>
      <w:bookmarkEnd w:id="106"/>
      <w:bookmarkEnd w:id="107"/>
      <w:bookmarkEnd w:id="108"/>
      <w:bookmarkEnd w:id="109"/>
      <w:bookmarkEnd w:id="110"/>
      <w:bookmarkEnd w:id="111"/>
      <w:bookmarkEnd w:id="112"/>
      <w:bookmarkEnd w:id="113"/>
      <w:bookmarkEnd w:id="114"/>
    </w:p>
    <w:p>
      <w:pPr>
        <w:pStyle w:val="3"/>
        <w:spacing w:before="156" w:after="156"/>
        <w:rPr>
          <w:color w:val="auto"/>
        </w:rPr>
      </w:pPr>
      <w:bookmarkStart w:id="115" w:name="_Toc17231"/>
      <w:bookmarkStart w:id="116" w:name="_Toc346465478"/>
      <w:bookmarkStart w:id="117" w:name="_Toc343617553"/>
      <w:bookmarkStart w:id="118" w:name="_Toc11769"/>
      <w:bookmarkStart w:id="119" w:name="_Toc342491561"/>
      <w:bookmarkStart w:id="120" w:name="_Toc343691961"/>
      <w:bookmarkStart w:id="121" w:name="_Toc450"/>
      <w:bookmarkStart w:id="122" w:name="_Toc3300"/>
      <w:bookmarkStart w:id="123" w:name="_Toc494555757"/>
      <w:bookmarkStart w:id="124" w:name="_Toc346717802"/>
      <w:bookmarkStart w:id="125" w:name="_Toc18989"/>
      <w:r>
        <w:rPr>
          <w:rFonts w:hint="eastAsia"/>
          <w:color w:val="auto"/>
        </w:rPr>
        <w:t>2.1</w:t>
      </w:r>
      <w:r>
        <w:rPr>
          <w:color w:val="auto"/>
        </w:rPr>
        <w:t>三亚市基本概况</w:t>
      </w:r>
      <w:bookmarkEnd w:id="115"/>
      <w:bookmarkEnd w:id="116"/>
      <w:bookmarkEnd w:id="117"/>
      <w:bookmarkEnd w:id="118"/>
      <w:bookmarkEnd w:id="119"/>
      <w:bookmarkEnd w:id="120"/>
      <w:bookmarkEnd w:id="121"/>
      <w:bookmarkEnd w:id="122"/>
      <w:bookmarkEnd w:id="123"/>
      <w:bookmarkEnd w:id="124"/>
      <w:bookmarkEnd w:id="125"/>
    </w:p>
    <w:p>
      <w:pPr>
        <w:rPr>
          <w:color w:val="auto"/>
        </w:rPr>
      </w:pPr>
      <w:r>
        <w:rPr>
          <w:color w:val="auto"/>
        </w:rPr>
        <w:t>三亚市地处海南岛最南端（图2-1），位于北纬18°09′34″～18°37′27″、东经108°56′30″～109°48′28″之间。东邻陵水县，北依保亭县，西毗乐东县，南临南海</w:t>
      </w:r>
      <w:r>
        <w:rPr>
          <w:rFonts w:hint="eastAsia"/>
          <w:color w:val="auto"/>
        </w:rPr>
        <w:t>，</w:t>
      </w:r>
      <w:r>
        <w:rPr>
          <w:color w:val="auto"/>
        </w:rPr>
        <w:t>全市</w:t>
      </w:r>
      <w:r>
        <w:rPr>
          <w:rFonts w:hint="eastAsia"/>
          <w:color w:val="auto"/>
        </w:rPr>
        <w:t>土地</w:t>
      </w:r>
      <w:r>
        <w:rPr>
          <w:color w:val="auto"/>
        </w:rPr>
        <w:t>面积19</w:t>
      </w:r>
      <w:r>
        <w:rPr>
          <w:rFonts w:hint="eastAsia"/>
          <w:color w:val="auto"/>
        </w:rPr>
        <w:t>21.46</w:t>
      </w:r>
      <w:r>
        <w:rPr>
          <w:color w:val="auto"/>
        </w:rPr>
        <w:t>平方公里</w:t>
      </w:r>
      <w:r>
        <w:rPr>
          <w:rFonts w:hint="eastAsia"/>
          <w:color w:val="auto"/>
        </w:rPr>
        <w:t>，</w:t>
      </w:r>
      <w:r>
        <w:rPr>
          <w:color w:val="auto"/>
        </w:rPr>
        <w:t>海岸线长2</w:t>
      </w:r>
      <w:r>
        <w:rPr>
          <w:rFonts w:hint="eastAsia"/>
          <w:color w:val="auto"/>
        </w:rPr>
        <w:t>58.6</w:t>
      </w:r>
      <w:r>
        <w:rPr>
          <w:color w:val="auto"/>
        </w:rPr>
        <w:t>公里</w:t>
      </w:r>
      <w:r>
        <w:rPr>
          <w:rFonts w:hint="eastAsia"/>
          <w:color w:val="auto"/>
        </w:rPr>
        <w:t>。</w:t>
      </w:r>
    </w:p>
    <w:p>
      <w:pPr>
        <w:rPr>
          <w:color w:val="auto"/>
        </w:rPr>
      </w:pPr>
      <w:r>
        <w:rPr>
          <w:rFonts w:hint="eastAsia"/>
          <w:color w:val="auto"/>
        </w:rPr>
        <w:t>三亚地处低纬度，属热带海洋性季风气候区，按建筑热工划分为夏热冬暖地区的南区（图2-1）。累计年平均气温26.3℃，极端高温为36.1℃，极端低温为8.4℃。三亚降水量丰富，累计年平均降水量1472.05mm，5~10月为雨季，降水量占全年的90.2%。冬季盛行东北季风，夏季盛行西南季风，</w:t>
      </w:r>
      <w:r>
        <w:rPr>
          <w:color w:val="auto"/>
        </w:rPr>
        <w:t>全年以东、东北偏东、东北风为最多，占总频率的46%，年平均风速2.9m/s。</w:t>
      </w:r>
      <w:r>
        <w:rPr>
          <w:rFonts w:hint="eastAsia"/>
          <w:color w:val="auto"/>
        </w:rPr>
        <w:t>日照时间长，地表温度高，累计年平均日照2211.67小时，日照百分率为56%，</w:t>
      </w:r>
      <w:r>
        <w:rPr>
          <w:color w:val="auto"/>
        </w:rPr>
        <w:t>水平面年平均日辐照量为16.627MJ/(m</w:t>
      </w:r>
      <w:r>
        <w:rPr>
          <w:color w:val="auto"/>
          <w:vertAlign w:val="superscript"/>
        </w:rPr>
        <w:t>2</w:t>
      </w:r>
      <w:r>
        <w:rPr>
          <w:color w:val="auto"/>
        </w:rPr>
        <w:t>.d)。</w:t>
      </w:r>
    </w:p>
    <w:p>
      <w:pPr>
        <w:ind w:firstLine="0" w:firstLineChars="0"/>
        <w:jc w:val="center"/>
        <w:rPr>
          <w:color w:val="auto"/>
        </w:rPr>
      </w:pPr>
      <w:r>
        <w:rPr>
          <w:color w:val="auto"/>
        </w:rPr>
        <w:drawing>
          <wp:inline distT="0" distB="0" distL="0" distR="0">
            <wp:extent cx="5238750" cy="2504440"/>
            <wp:effectExtent l="0" t="0" r="0" b="635"/>
            <wp:docPr id="21" name="图片 21" descr="C:\Users\cc\AppData\Local\Temp\ksohtml15792\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cc\AppData\Local\Temp\ksohtml15792\wps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56279" cy="2513248"/>
                    </a:xfrm>
                    <a:prstGeom prst="rect">
                      <a:avLst/>
                    </a:prstGeom>
                    <a:noFill/>
                    <a:ln>
                      <a:noFill/>
                    </a:ln>
                  </pic:spPr>
                </pic:pic>
              </a:graphicData>
            </a:graphic>
          </wp:inline>
        </w:drawing>
      </w:r>
    </w:p>
    <w:p>
      <w:pPr>
        <w:pStyle w:val="10"/>
        <w:spacing w:before="0" w:beforeLines="0"/>
        <w:rPr>
          <w:rFonts w:ascii="Times New Roman" w:hAnsi="Times New Roman"/>
          <w:color w:val="auto"/>
          <w:sz w:val="21"/>
          <w:szCs w:val="21"/>
        </w:rPr>
      </w:pPr>
      <w:r>
        <w:rPr>
          <w:rFonts w:ascii="Times New Roman" w:hAnsi="Times New Roman"/>
          <w:color w:val="auto"/>
          <w:sz w:val="21"/>
          <w:szCs w:val="21"/>
        </w:rPr>
        <w:t>图2-1 三亚位置及建筑热工分区</w:t>
      </w:r>
    </w:p>
    <w:p>
      <w:pPr>
        <w:rPr>
          <w:color w:val="auto"/>
        </w:rPr>
      </w:pPr>
      <w:r>
        <w:rPr>
          <w:rFonts w:hint="eastAsia"/>
          <w:color w:val="auto"/>
          <w:kern w:val="0"/>
        </w:rPr>
        <w:t>截止20</w:t>
      </w:r>
      <w:r>
        <w:rPr>
          <w:color w:val="auto"/>
          <w:kern w:val="0"/>
        </w:rPr>
        <w:t>20</w:t>
      </w:r>
      <w:r>
        <w:rPr>
          <w:rFonts w:hint="eastAsia"/>
          <w:color w:val="auto"/>
          <w:kern w:val="0"/>
        </w:rPr>
        <w:t>年末，三亚</w:t>
      </w:r>
      <w:r>
        <w:rPr>
          <w:color w:val="auto"/>
          <w:kern w:val="0"/>
        </w:rPr>
        <w:t>市</w:t>
      </w:r>
      <w:r>
        <w:rPr>
          <w:rFonts w:hint="eastAsia"/>
          <w:color w:val="auto"/>
          <w:kern w:val="0"/>
        </w:rPr>
        <w:t>全市年末户籍人口669346人，比上年末增加34977人。2</w:t>
      </w:r>
      <w:r>
        <w:rPr>
          <w:color w:val="auto"/>
          <w:kern w:val="0"/>
        </w:rPr>
        <w:t>020</w:t>
      </w:r>
      <w:r>
        <w:rPr>
          <w:rFonts w:hint="eastAsia"/>
          <w:color w:val="auto"/>
          <w:kern w:val="0"/>
        </w:rPr>
        <w:t>年，</w:t>
      </w:r>
      <w:r>
        <w:rPr>
          <w:rFonts w:hint="eastAsia"/>
          <w:color w:val="auto"/>
        </w:rPr>
        <w:t>全年全市生产总值（GDP）695.41亿元，按可比价格计算，比上年增长3.1%。</w:t>
      </w:r>
    </w:p>
    <w:p>
      <w:pPr>
        <w:pStyle w:val="3"/>
        <w:spacing w:before="156" w:after="156"/>
        <w:rPr>
          <w:color w:val="auto"/>
        </w:rPr>
      </w:pPr>
      <w:bookmarkStart w:id="126" w:name="_Toc342491567"/>
      <w:bookmarkStart w:id="127" w:name="_Toc343617559"/>
      <w:bookmarkStart w:id="128" w:name="_Toc346465483"/>
      <w:bookmarkStart w:id="129" w:name="_Toc343691966"/>
      <w:bookmarkStart w:id="130" w:name="_Toc17369"/>
      <w:bookmarkStart w:id="131" w:name="_Toc346717807"/>
      <w:bookmarkStart w:id="132" w:name="_Toc27687"/>
      <w:bookmarkStart w:id="133" w:name="_Toc25607"/>
      <w:bookmarkStart w:id="134" w:name="_Toc17121"/>
      <w:bookmarkStart w:id="135" w:name="_Toc494555764"/>
      <w:r>
        <w:rPr>
          <w:rFonts w:hint="eastAsia"/>
          <w:color w:val="auto"/>
        </w:rPr>
        <w:t xml:space="preserve">2.2 </w:t>
      </w:r>
      <w:r>
        <w:rPr>
          <w:color w:val="auto"/>
        </w:rPr>
        <w:t>全市建筑</w:t>
      </w:r>
      <w:bookmarkEnd w:id="126"/>
      <w:bookmarkEnd w:id="127"/>
      <w:bookmarkEnd w:id="128"/>
      <w:bookmarkEnd w:id="129"/>
      <w:bookmarkEnd w:id="130"/>
      <w:bookmarkEnd w:id="131"/>
      <w:bookmarkEnd w:id="132"/>
      <w:r>
        <w:rPr>
          <w:rFonts w:hint="eastAsia"/>
          <w:color w:val="auto"/>
        </w:rPr>
        <w:t>发展现状及趋势</w:t>
      </w:r>
      <w:bookmarkEnd w:id="133"/>
      <w:bookmarkEnd w:id="134"/>
      <w:bookmarkEnd w:id="135"/>
    </w:p>
    <w:p>
      <w:pPr>
        <w:pStyle w:val="4"/>
        <w:rPr>
          <w:color w:val="auto"/>
        </w:rPr>
      </w:pPr>
      <w:bookmarkStart w:id="136" w:name="_Toc18839"/>
      <w:r>
        <w:rPr>
          <w:rFonts w:hint="eastAsia"/>
          <w:color w:val="auto"/>
        </w:rPr>
        <w:t>2.2.1建筑发展现状</w:t>
      </w:r>
      <w:bookmarkEnd w:id="136"/>
    </w:p>
    <w:p>
      <w:pPr>
        <w:rPr>
          <w:color w:val="auto"/>
        </w:rPr>
      </w:pPr>
      <w:r>
        <w:rPr>
          <w:color w:val="auto"/>
        </w:rPr>
        <w:t>截止2015年，三亚市城镇既有建筑面积约为3080.49万</w:t>
      </w:r>
      <w:r>
        <w:rPr>
          <w:rFonts w:hint="eastAsia"/>
          <w:color w:val="auto"/>
        </w:rPr>
        <w:t>平方米</w:t>
      </w:r>
      <w:r>
        <w:rPr>
          <w:color w:val="auto"/>
        </w:rPr>
        <w:t>，其中：居住建筑约2468.32万</w:t>
      </w:r>
      <w:r>
        <w:rPr>
          <w:rFonts w:hint="eastAsia"/>
          <w:color w:val="auto"/>
        </w:rPr>
        <w:t>平方米</w:t>
      </w:r>
      <w:r>
        <w:rPr>
          <w:color w:val="auto"/>
        </w:rPr>
        <w:t>，公共建筑612.17万</w:t>
      </w:r>
      <w:r>
        <w:rPr>
          <w:rFonts w:hint="eastAsia"/>
          <w:color w:val="auto"/>
        </w:rPr>
        <w:t>平方米</w:t>
      </w:r>
      <w:r>
        <w:rPr>
          <w:color w:val="auto"/>
        </w:rPr>
        <w:t>。既有建筑存量中，节能建筑面积为1659.19万</w:t>
      </w:r>
      <w:r>
        <w:rPr>
          <w:rFonts w:hint="eastAsia"/>
          <w:color w:val="auto"/>
        </w:rPr>
        <w:t>平方米</w:t>
      </w:r>
      <w:r>
        <w:rPr>
          <w:color w:val="auto"/>
        </w:rPr>
        <w:t>，占总存量建筑的53.86%。</w:t>
      </w:r>
    </w:p>
    <w:p>
      <w:pPr>
        <w:rPr>
          <w:color w:val="auto"/>
        </w:rPr>
      </w:pPr>
      <w:r>
        <w:rPr>
          <w:rFonts w:hint="eastAsia"/>
          <w:color w:val="auto"/>
        </w:rPr>
        <w:t>2011-2015年</w:t>
      </w:r>
      <w:r>
        <w:rPr>
          <w:color w:val="auto"/>
        </w:rPr>
        <w:t>，三亚市城镇新建建筑面积共约807.24万</w:t>
      </w:r>
      <w:r>
        <w:rPr>
          <w:rFonts w:hint="eastAsia"/>
          <w:color w:val="auto"/>
        </w:rPr>
        <w:t>平方米</w:t>
      </w:r>
      <w:r>
        <w:rPr>
          <w:color w:val="auto"/>
        </w:rPr>
        <w:t>，其中：新建居住建筑687.08万</w:t>
      </w:r>
      <w:r>
        <w:rPr>
          <w:rFonts w:hint="eastAsia"/>
          <w:color w:val="auto"/>
        </w:rPr>
        <w:t>平方米</w:t>
      </w:r>
      <w:r>
        <w:rPr>
          <w:color w:val="auto"/>
        </w:rPr>
        <w:t>，新建公共建筑120.16万</w:t>
      </w:r>
      <w:r>
        <w:rPr>
          <w:rFonts w:hint="eastAsia"/>
          <w:color w:val="auto"/>
        </w:rPr>
        <w:t>平方米</w:t>
      </w:r>
      <w:r>
        <w:rPr>
          <w:color w:val="auto"/>
        </w:rPr>
        <w:t>。</w:t>
      </w:r>
      <w:r>
        <w:rPr>
          <w:color w:val="auto"/>
          <w:vertAlign w:val="superscript"/>
        </w:rPr>
        <w:footnoteReference w:id="0"/>
      </w:r>
    </w:p>
    <w:p>
      <w:pPr>
        <w:rPr>
          <w:color w:val="auto"/>
        </w:rPr>
      </w:pPr>
      <w:r>
        <w:rPr>
          <w:rFonts w:hint="eastAsia"/>
          <w:color w:val="auto"/>
        </w:rPr>
        <w:t>2016年至2020年，城镇新建建筑面积共约784.15万平方米。</w:t>
      </w:r>
      <w:r>
        <w:rPr>
          <w:color w:val="auto"/>
        </w:rPr>
        <w:t>截止20</w:t>
      </w:r>
      <w:r>
        <w:rPr>
          <w:rFonts w:hint="eastAsia"/>
          <w:color w:val="auto"/>
        </w:rPr>
        <w:t>20</w:t>
      </w:r>
      <w:r>
        <w:rPr>
          <w:color w:val="auto"/>
        </w:rPr>
        <w:t>年，三亚市城镇既有建筑面积约为</w:t>
      </w:r>
      <w:r>
        <w:rPr>
          <w:rFonts w:hint="eastAsia"/>
          <w:color w:val="auto"/>
        </w:rPr>
        <w:t>3864.64</w:t>
      </w:r>
      <w:r>
        <w:rPr>
          <w:color w:val="auto"/>
        </w:rPr>
        <w:t>万</w:t>
      </w:r>
      <w:r>
        <w:rPr>
          <w:rFonts w:hint="eastAsia"/>
          <w:color w:val="auto"/>
        </w:rPr>
        <w:t>平方米。</w:t>
      </w:r>
    </w:p>
    <w:p>
      <w:pPr>
        <w:rPr>
          <w:color w:val="auto"/>
        </w:rPr>
      </w:pPr>
      <w:r>
        <w:rPr>
          <w:rFonts w:hint="eastAsia"/>
          <w:color w:val="auto"/>
        </w:rPr>
        <w:t>2019年，三亚市严格落实房地产市场调控政策，产业结构调整取得显著成效，同时影响渗透至上下游产业链。房地产开发投资和销售大幅下降。房地产开发投资下降25.6%，引起全年固定资产投资同比下降8.1%；房屋销售面积下降50.5%，房屋销售额下降49.0%。</w:t>
      </w:r>
    </w:p>
    <w:p>
      <w:pPr>
        <w:rPr>
          <w:color w:val="auto"/>
        </w:rPr>
      </w:pPr>
      <w:r>
        <w:rPr>
          <w:rFonts w:hint="eastAsia"/>
          <w:color w:val="auto"/>
        </w:rPr>
        <w:t>2020年，全市固定资产投资比上年增长5.3%。全年固定资产投资到位资金1031.22亿元，比上年增长31.8%，资金到位率为143.4%。全年全市房地产开发投资比上年增长13.3%。房屋施工面积1345.43万平方米，增长9.8%。其中，住宅882.03万平方米，办公楼55.17万平方米，商品营业用房205.30万平方米，其他202.93万平方米。</w:t>
      </w:r>
    </w:p>
    <w:p>
      <w:pPr>
        <w:ind w:firstLine="0" w:firstLineChars="0"/>
        <w:jc w:val="center"/>
        <w:rPr>
          <w:color w:val="auto"/>
        </w:rPr>
      </w:pPr>
      <w:r>
        <w:rPr>
          <w:color w:val="auto"/>
        </w:rPr>
        <w:drawing>
          <wp:inline distT="0" distB="0" distL="114300" distR="114300">
            <wp:extent cx="5390515" cy="2729230"/>
            <wp:effectExtent l="4445" t="4445" r="5715" b="9525"/>
            <wp:docPr id="8"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pStyle w:val="10"/>
        <w:spacing w:before="0" w:beforeLines="0"/>
        <w:rPr>
          <w:rFonts w:ascii="Times New Roman" w:hAnsi="Times New Roman"/>
          <w:color w:val="auto"/>
          <w:sz w:val="21"/>
          <w:szCs w:val="21"/>
        </w:rPr>
      </w:pPr>
      <w:r>
        <w:rPr>
          <w:rFonts w:ascii="Times New Roman" w:hAnsi="Times New Roman"/>
          <w:color w:val="auto"/>
          <w:sz w:val="21"/>
          <w:szCs w:val="21"/>
        </w:rPr>
        <w:t>图</w:t>
      </w:r>
      <w:r>
        <w:rPr>
          <w:rFonts w:hint="eastAsia" w:ascii="Times New Roman" w:hAnsi="Times New Roman"/>
          <w:color w:val="auto"/>
          <w:sz w:val="21"/>
          <w:szCs w:val="21"/>
        </w:rPr>
        <w:t xml:space="preserve">2-2 </w:t>
      </w:r>
      <w:r>
        <w:rPr>
          <w:rFonts w:ascii="Times New Roman" w:hAnsi="Times New Roman"/>
          <w:color w:val="auto"/>
          <w:sz w:val="21"/>
          <w:szCs w:val="21"/>
        </w:rPr>
        <w:t>三亚市20</w:t>
      </w:r>
      <w:r>
        <w:rPr>
          <w:rFonts w:hint="eastAsia" w:ascii="Times New Roman" w:hAnsi="Times New Roman"/>
          <w:color w:val="auto"/>
          <w:sz w:val="21"/>
          <w:szCs w:val="21"/>
        </w:rPr>
        <w:t>11</w:t>
      </w:r>
      <w:r>
        <w:rPr>
          <w:rFonts w:ascii="Times New Roman" w:hAnsi="Times New Roman"/>
          <w:color w:val="auto"/>
          <w:sz w:val="21"/>
          <w:szCs w:val="21"/>
        </w:rPr>
        <w:t>-20</w:t>
      </w:r>
      <w:r>
        <w:rPr>
          <w:rFonts w:hint="eastAsia" w:ascii="Times New Roman" w:hAnsi="Times New Roman"/>
          <w:color w:val="auto"/>
          <w:sz w:val="21"/>
          <w:szCs w:val="21"/>
        </w:rPr>
        <w:t>20</w:t>
      </w:r>
      <w:r>
        <w:rPr>
          <w:rFonts w:ascii="Times New Roman" w:hAnsi="Times New Roman"/>
          <w:color w:val="auto"/>
          <w:sz w:val="21"/>
          <w:szCs w:val="21"/>
        </w:rPr>
        <w:t>年城镇每年的新建建筑面积</w:t>
      </w:r>
    </w:p>
    <w:p/>
    <w:p>
      <w:pPr>
        <w:pStyle w:val="10"/>
        <w:spacing w:before="0" w:beforeLines="0"/>
        <w:rPr>
          <w:rFonts w:ascii="Times New Roman" w:hAnsi="Times New Roman"/>
          <w:color w:val="auto"/>
          <w:sz w:val="21"/>
          <w:szCs w:val="21"/>
        </w:rPr>
      </w:pPr>
      <w:r>
        <w:rPr>
          <w:rFonts w:ascii="Times New Roman" w:hAnsi="Times New Roman"/>
          <w:color w:val="auto"/>
          <w:sz w:val="21"/>
          <w:szCs w:val="21"/>
        </w:rPr>
        <w:t>表</w:t>
      </w:r>
      <w:r>
        <w:rPr>
          <w:rFonts w:hint="eastAsia" w:ascii="Times New Roman" w:hAnsi="Times New Roman"/>
          <w:color w:val="auto"/>
          <w:sz w:val="21"/>
          <w:szCs w:val="21"/>
        </w:rPr>
        <w:t>2-1  2011-2020年三亚市建筑发展概况统计表</w:t>
      </w:r>
    </w:p>
    <w:tbl>
      <w:tblPr>
        <w:tblStyle w:val="39"/>
        <w:tblW w:w="820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6"/>
        <w:gridCol w:w="1750"/>
        <w:gridCol w:w="1750"/>
        <w:gridCol w:w="1847"/>
        <w:gridCol w:w="1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jc w:val="center"/>
        </w:trPr>
        <w:tc>
          <w:tcPr>
            <w:tcW w:w="1116" w:type="dxa"/>
            <w:vAlign w:val="center"/>
          </w:tcPr>
          <w:p>
            <w:pPr>
              <w:pStyle w:val="12"/>
              <w:rPr>
                <w:rFonts w:ascii="Times New Roman" w:hAnsi="Times New Roman"/>
                <w:b/>
                <w:bCs/>
                <w:color w:val="auto"/>
              </w:rPr>
            </w:pPr>
            <w:r>
              <w:rPr>
                <w:rFonts w:ascii="Times New Roman" w:hAnsi="Times New Roman"/>
                <w:b/>
                <w:bCs/>
                <w:color w:val="auto"/>
              </w:rPr>
              <w:t>年份</w:t>
            </w:r>
          </w:p>
        </w:tc>
        <w:tc>
          <w:tcPr>
            <w:tcW w:w="1750" w:type="dxa"/>
            <w:vAlign w:val="center"/>
          </w:tcPr>
          <w:p>
            <w:pPr>
              <w:pStyle w:val="12"/>
              <w:rPr>
                <w:rFonts w:ascii="Times New Roman" w:hAnsi="Times New Roman"/>
                <w:b/>
                <w:bCs/>
                <w:color w:val="auto"/>
              </w:rPr>
            </w:pPr>
            <w:r>
              <w:rPr>
                <w:rFonts w:ascii="Times New Roman" w:hAnsi="Times New Roman"/>
                <w:b/>
                <w:bCs/>
                <w:color w:val="auto"/>
              </w:rPr>
              <w:t>固定资产投资额（亿元）</w:t>
            </w:r>
          </w:p>
        </w:tc>
        <w:tc>
          <w:tcPr>
            <w:tcW w:w="1750" w:type="dxa"/>
            <w:vAlign w:val="center"/>
          </w:tcPr>
          <w:p>
            <w:pPr>
              <w:pStyle w:val="12"/>
              <w:rPr>
                <w:rFonts w:ascii="Times New Roman" w:hAnsi="Times New Roman"/>
                <w:b/>
                <w:bCs/>
                <w:color w:val="auto"/>
              </w:rPr>
            </w:pPr>
            <w:r>
              <w:rPr>
                <w:rFonts w:ascii="Times New Roman" w:hAnsi="Times New Roman"/>
                <w:b/>
                <w:bCs/>
                <w:color w:val="auto"/>
              </w:rPr>
              <w:t>其中房地产开发投资（亿元）</w:t>
            </w:r>
          </w:p>
        </w:tc>
        <w:tc>
          <w:tcPr>
            <w:tcW w:w="1847" w:type="dxa"/>
            <w:vAlign w:val="center"/>
          </w:tcPr>
          <w:p>
            <w:pPr>
              <w:pStyle w:val="12"/>
              <w:rPr>
                <w:rFonts w:ascii="Times New Roman" w:hAnsi="Times New Roman"/>
                <w:b/>
                <w:bCs/>
                <w:color w:val="auto"/>
              </w:rPr>
            </w:pPr>
            <w:r>
              <w:rPr>
                <w:rFonts w:ascii="Times New Roman" w:hAnsi="Times New Roman"/>
                <w:b/>
                <w:bCs/>
                <w:color w:val="auto"/>
              </w:rPr>
              <w:t>房地产业生产</w:t>
            </w:r>
          </w:p>
          <w:p>
            <w:pPr>
              <w:pStyle w:val="12"/>
              <w:rPr>
                <w:rFonts w:ascii="Times New Roman" w:hAnsi="Times New Roman"/>
                <w:b/>
                <w:bCs/>
                <w:color w:val="auto"/>
              </w:rPr>
            </w:pPr>
            <w:r>
              <w:rPr>
                <w:rFonts w:ascii="Times New Roman" w:hAnsi="Times New Roman"/>
                <w:b/>
                <w:bCs/>
                <w:color w:val="auto"/>
              </w:rPr>
              <w:t>总值（亿元）</w:t>
            </w:r>
          </w:p>
        </w:tc>
        <w:tc>
          <w:tcPr>
            <w:tcW w:w="1740" w:type="dxa"/>
            <w:vAlign w:val="center"/>
          </w:tcPr>
          <w:p>
            <w:pPr>
              <w:pStyle w:val="12"/>
              <w:rPr>
                <w:rFonts w:ascii="Times New Roman" w:hAnsi="Times New Roman"/>
                <w:b/>
                <w:bCs/>
                <w:color w:val="auto"/>
              </w:rPr>
            </w:pPr>
            <w:r>
              <w:rPr>
                <w:rFonts w:ascii="Times New Roman" w:hAnsi="Times New Roman"/>
                <w:b/>
                <w:bCs/>
                <w:color w:val="auto"/>
              </w:rPr>
              <w:t>新增建筑面积（</w:t>
            </w:r>
            <w:r>
              <w:rPr>
                <w:rFonts w:hint="eastAsia" w:ascii="Times New Roman" w:hAnsi="Times New Roman"/>
                <w:b/>
                <w:bCs/>
                <w:color w:val="auto"/>
              </w:rPr>
              <w:t>万㎡</w:t>
            </w:r>
            <w:bookmarkStart w:id="310" w:name="_GoBack"/>
            <w:bookmarkEnd w:id="310"/>
            <w:r>
              <w:rPr>
                <w:rFonts w:ascii="Times New Roman" w:hAnsi="Times New Roman"/>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116" w:type="dxa"/>
            <w:vAlign w:val="center"/>
          </w:tcPr>
          <w:p>
            <w:pPr>
              <w:pStyle w:val="12"/>
              <w:rPr>
                <w:rFonts w:ascii="Times New Roman" w:hAnsi="Times New Roman"/>
                <w:color w:val="auto"/>
              </w:rPr>
            </w:pPr>
            <w:r>
              <w:rPr>
                <w:rFonts w:ascii="Times New Roman" w:hAnsi="Times New Roman"/>
                <w:color w:val="auto"/>
              </w:rPr>
              <w:t>2011年</w:t>
            </w:r>
          </w:p>
        </w:tc>
        <w:tc>
          <w:tcPr>
            <w:tcW w:w="1750" w:type="dxa"/>
            <w:vAlign w:val="center"/>
          </w:tcPr>
          <w:p>
            <w:pPr>
              <w:pStyle w:val="12"/>
              <w:rPr>
                <w:rFonts w:ascii="Times New Roman" w:hAnsi="Times New Roman"/>
                <w:color w:val="auto"/>
              </w:rPr>
            </w:pPr>
            <w:r>
              <w:rPr>
                <w:rFonts w:ascii="Times New Roman" w:hAnsi="Times New Roman"/>
                <w:color w:val="auto"/>
              </w:rPr>
              <w:t>358.3</w:t>
            </w:r>
          </w:p>
        </w:tc>
        <w:tc>
          <w:tcPr>
            <w:tcW w:w="1750" w:type="dxa"/>
            <w:vAlign w:val="center"/>
          </w:tcPr>
          <w:p>
            <w:pPr>
              <w:pStyle w:val="12"/>
              <w:rPr>
                <w:rFonts w:ascii="Times New Roman" w:hAnsi="Times New Roman"/>
                <w:color w:val="auto"/>
              </w:rPr>
            </w:pPr>
            <w:r>
              <w:rPr>
                <w:rFonts w:ascii="Times New Roman" w:hAnsi="Times New Roman"/>
                <w:color w:val="auto"/>
              </w:rPr>
              <w:t>178.84</w:t>
            </w:r>
          </w:p>
        </w:tc>
        <w:tc>
          <w:tcPr>
            <w:tcW w:w="1847" w:type="dxa"/>
            <w:vAlign w:val="center"/>
          </w:tcPr>
          <w:p>
            <w:pPr>
              <w:pStyle w:val="12"/>
              <w:rPr>
                <w:rFonts w:ascii="Times New Roman" w:hAnsi="Times New Roman"/>
                <w:color w:val="auto"/>
              </w:rPr>
            </w:pPr>
            <w:r>
              <w:rPr>
                <w:rFonts w:ascii="Times New Roman" w:hAnsi="Times New Roman"/>
                <w:color w:val="auto"/>
              </w:rPr>
              <w:t>69.27</w:t>
            </w:r>
          </w:p>
        </w:tc>
        <w:tc>
          <w:tcPr>
            <w:tcW w:w="1740" w:type="dxa"/>
            <w:vAlign w:val="center"/>
          </w:tcPr>
          <w:p>
            <w:pPr>
              <w:pStyle w:val="12"/>
              <w:rPr>
                <w:rFonts w:ascii="Times New Roman" w:hAnsi="Times New Roman"/>
                <w:color w:val="auto"/>
              </w:rPr>
            </w:pPr>
            <w:r>
              <w:rPr>
                <w:rFonts w:ascii="Times New Roman" w:hAnsi="Times New Roman"/>
                <w:color w:val="auto"/>
              </w:rPr>
              <w:t>86.85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116" w:type="dxa"/>
            <w:vAlign w:val="center"/>
          </w:tcPr>
          <w:p>
            <w:pPr>
              <w:pStyle w:val="12"/>
              <w:rPr>
                <w:rFonts w:ascii="Times New Roman" w:hAnsi="Times New Roman"/>
                <w:color w:val="auto"/>
              </w:rPr>
            </w:pPr>
            <w:r>
              <w:rPr>
                <w:rFonts w:ascii="Times New Roman" w:hAnsi="Times New Roman"/>
                <w:color w:val="auto"/>
              </w:rPr>
              <w:t>2012年</w:t>
            </w:r>
          </w:p>
        </w:tc>
        <w:tc>
          <w:tcPr>
            <w:tcW w:w="1750" w:type="dxa"/>
            <w:vAlign w:val="center"/>
          </w:tcPr>
          <w:p>
            <w:pPr>
              <w:pStyle w:val="12"/>
              <w:rPr>
                <w:rFonts w:ascii="Times New Roman" w:hAnsi="Times New Roman"/>
                <w:color w:val="auto"/>
              </w:rPr>
            </w:pPr>
            <w:r>
              <w:rPr>
                <w:rFonts w:ascii="Times New Roman" w:hAnsi="Times New Roman"/>
                <w:color w:val="auto"/>
              </w:rPr>
              <w:t>430.34</w:t>
            </w:r>
          </w:p>
        </w:tc>
        <w:tc>
          <w:tcPr>
            <w:tcW w:w="1750" w:type="dxa"/>
            <w:vAlign w:val="center"/>
          </w:tcPr>
          <w:p>
            <w:pPr>
              <w:pStyle w:val="12"/>
              <w:rPr>
                <w:rFonts w:ascii="Times New Roman" w:hAnsi="Times New Roman"/>
                <w:color w:val="auto"/>
              </w:rPr>
            </w:pPr>
            <w:r>
              <w:rPr>
                <w:rFonts w:ascii="Times New Roman" w:hAnsi="Times New Roman"/>
                <w:color w:val="auto"/>
              </w:rPr>
              <w:t>238.45</w:t>
            </w:r>
          </w:p>
        </w:tc>
        <w:tc>
          <w:tcPr>
            <w:tcW w:w="1847" w:type="dxa"/>
            <w:vAlign w:val="center"/>
          </w:tcPr>
          <w:p>
            <w:pPr>
              <w:pStyle w:val="12"/>
              <w:rPr>
                <w:rFonts w:ascii="Times New Roman" w:hAnsi="Times New Roman"/>
                <w:color w:val="auto"/>
              </w:rPr>
            </w:pPr>
            <w:r>
              <w:rPr>
                <w:rFonts w:ascii="Times New Roman" w:hAnsi="Times New Roman"/>
                <w:color w:val="auto"/>
              </w:rPr>
              <w:t>73.16</w:t>
            </w:r>
          </w:p>
        </w:tc>
        <w:tc>
          <w:tcPr>
            <w:tcW w:w="1740" w:type="dxa"/>
            <w:vAlign w:val="center"/>
          </w:tcPr>
          <w:p>
            <w:pPr>
              <w:pStyle w:val="12"/>
              <w:rPr>
                <w:rFonts w:ascii="Times New Roman" w:hAnsi="Times New Roman"/>
                <w:color w:val="auto"/>
              </w:rPr>
            </w:pPr>
            <w:r>
              <w:rPr>
                <w:rFonts w:ascii="Times New Roman" w:hAnsi="Times New Roman"/>
                <w:color w:val="auto"/>
              </w:rPr>
              <w:t>161.73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116" w:type="dxa"/>
            <w:vAlign w:val="center"/>
          </w:tcPr>
          <w:p>
            <w:pPr>
              <w:pStyle w:val="12"/>
              <w:rPr>
                <w:rFonts w:ascii="Times New Roman" w:hAnsi="Times New Roman"/>
                <w:color w:val="auto"/>
              </w:rPr>
            </w:pPr>
            <w:r>
              <w:rPr>
                <w:rFonts w:ascii="Times New Roman" w:hAnsi="Times New Roman"/>
                <w:color w:val="auto"/>
              </w:rPr>
              <w:t>2013年</w:t>
            </w:r>
          </w:p>
        </w:tc>
        <w:tc>
          <w:tcPr>
            <w:tcW w:w="1750" w:type="dxa"/>
            <w:vAlign w:val="center"/>
          </w:tcPr>
          <w:p>
            <w:pPr>
              <w:pStyle w:val="12"/>
              <w:rPr>
                <w:rFonts w:ascii="Times New Roman" w:hAnsi="Times New Roman"/>
                <w:color w:val="auto"/>
              </w:rPr>
            </w:pPr>
            <w:r>
              <w:rPr>
                <w:rFonts w:ascii="Times New Roman" w:hAnsi="Times New Roman"/>
                <w:color w:val="auto"/>
              </w:rPr>
              <w:t>523.29</w:t>
            </w:r>
          </w:p>
        </w:tc>
        <w:tc>
          <w:tcPr>
            <w:tcW w:w="1750" w:type="dxa"/>
            <w:vAlign w:val="center"/>
          </w:tcPr>
          <w:p>
            <w:pPr>
              <w:pStyle w:val="12"/>
              <w:rPr>
                <w:rFonts w:ascii="Times New Roman" w:hAnsi="Times New Roman"/>
                <w:color w:val="auto"/>
              </w:rPr>
            </w:pPr>
            <w:r>
              <w:rPr>
                <w:rFonts w:ascii="Times New Roman" w:hAnsi="Times New Roman"/>
                <w:color w:val="auto"/>
              </w:rPr>
              <w:t>302.72</w:t>
            </w:r>
          </w:p>
        </w:tc>
        <w:tc>
          <w:tcPr>
            <w:tcW w:w="1847" w:type="dxa"/>
            <w:vAlign w:val="center"/>
          </w:tcPr>
          <w:p>
            <w:pPr>
              <w:pStyle w:val="12"/>
              <w:rPr>
                <w:rFonts w:ascii="Times New Roman" w:hAnsi="Times New Roman"/>
                <w:color w:val="auto"/>
              </w:rPr>
            </w:pPr>
            <w:r>
              <w:rPr>
                <w:rFonts w:ascii="Times New Roman" w:hAnsi="Times New Roman"/>
                <w:color w:val="auto"/>
              </w:rPr>
              <w:t>72.61</w:t>
            </w:r>
          </w:p>
        </w:tc>
        <w:tc>
          <w:tcPr>
            <w:tcW w:w="1740" w:type="dxa"/>
            <w:vAlign w:val="center"/>
          </w:tcPr>
          <w:p>
            <w:pPr>
              <w:pStyle w:val="12"/>
              <w:rPr>
                <w:rFonts w:ascii="Times New Roman" w:hAnsi="Times New Roman"/>
                <w:color w:val="auto"/>
              </w:rPr>
            </w:pPr>
            <w:r>
              <w:rPr>
                <w:rFonts w:ascii="Times New Roman" w:hAnsi="Times New Roman"/>
                <w:color w:val="auto"/>
              </w:rPr>
              <w:t>50.28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116" w:type="dxa"/>
            <w:vAlign w:val="center"/>
          </w:tcPr>
          <w:p>
            <w:pPr>
              <w:pStyle w:val="12"/>
              <w:rPr>
                <w:rFonts w:ascii="Times New Roman" w:hAnsi="Times New Roman"/>
                <w:color w:val="auto"/>
              </w:rPr>
            </w:pPr>
            <w:r>
              <w:rPr>
                <w:rFonts w:ascii="Times New Roman" w:hAnsi="Times New Roman"/>
                <w:color w:val="auto"/>
              </w:rPr>
              <w:t>2014年</w:t>
            </w:r>
          </w:p>
        </w:tc>
        <w:tc>
          <w:tcPr>
            <w:tcW w:w="1750" w:type="dxa"/>
            <w:vAlign w:val="center"/>
          </w:tcPr>
          <w:p>
            <w:pPr>
              <w:pStyle w:val="12"/>
              <w:rPr>
                <w:rFonts w:ascii="Times New Roman" w:hAnsi="Times New Roman"/>
                <w:color w:val="auto"/>
              </w:rPr>
            </w:pPr>
            <w:r>
              <w:rPr>
                <w:rFonts w:ascii="Times New Roman" w:hAnsi="Times New Roman"/>
                <w:color w:val="auto"/>
              </w:rPr>
              <w:t>629.56</w:t>
            </w:r>
          </w:p>
        </w:tc>
        <w:tc>
          <w:tcPr>
            <w:tcW w:w="1750" w:type="dxa"/>
            <w:vAlign w:val="center"/>
          </w:tcPr>
          <w:p>
            <w:pPr>
              <w:pStyle w:val="12"/>
              <w:rPr>
                <w:rFonts w:ascii="Times New Roman" w:hAnsi="Times New Roman"/>
                <w:color w:val="auto"/>
              </w:rPr>
            </w:pPr>
            <w:r>
              <w:rPr>
                <w:rFonts w:ascii="Times New Roman" w:hAnsi="Times New Roman"/>
                <w:color w:val="auto"/>
              </w:rPr>
              <w:t>380.02</w:t>
            </w:r>
          </w:p>
        </w:tc>
        <w:tc>
          <w:tcPr>
            <w:tcW w:w="1847" w:type="dxa"/>
            <w:vAlign w:val="center"/>
          </w:tcPr>
          <w:p>
            <w:pPr>
              <w:pStyle w:val="12"/>
              <w:rPr>
                <w:rFonts w:ascii="Times New Roman" w:hAnsi="Times New Roman"/>
                <w:color w:val="auto"/>
              </w:rPr>
            </w:pPr>
            <w:r>
              <w:rPr>
                <w:rFonts w:ascii="Times New Roman" w:hAnsi="Times New Roman"/>
                <w:color w:val="auto"/>
              </w:rPr>
              <w:t>68.74</w:t>
            </w:r>
          </w:p>
        </w:tc>
        <w:tc>
          <w:tcPr>
            <w:tcW w:w="1740" w:type="dxa"/>
            <w:vAlign w:val="center"/>
          </w:tcPr>
          <w:p>
            <w:pPr>
              <w:pStyle w:val="12"/>
              <w:rPr>
                <w:rFonts w:ascii="Times New Roman" w:hAnsi="Times New Roman"/>
                <w:color w:val="auto"/>
              </w:rPr>
            </w:pPr>
            <w:r>
              <w:rPr>
                <w:rFonts w:ascii="Times New Roman" w:hAnsi="Times New Roman"/>
                <w:color w:val="auto"/>
              </w:rPr>
              <w:t>318.08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116" w:type="dxa"/>
            <w:vAlign w:val="center"/>
          </w:tcPr>
          <w:p>
            <w:pPr>
              <w:pStyle w:val="12"/>
              <w:rPr>
                <w:rFonts w:ascii="Times New Roman" w:hAnsi="Times New Roman"/>
                <w:color w:val="auto"/>
              </w:rPr>
            </w:pPr>
            <w:r>
              <w:rPr>
                <w:rFonts w:ascii="Times New Roman" w:hAnsi="Times New Roman"/>
                <w:color w:val="auto"/>
              </w:rPr>
              <w:t>2015年</w:t>
            </w:r>
          </w:p>
        </w:tc>
        <w:tc>
          <w:tcPr>
            <w:tcW w:w="1750" w:type="dxa"/>
            <w:vAlign w:val="center"/>
          </w:tcPr>
          <w:p>
            <w:pPr>
              <w:pStyle w:val="12"/>
              <w:rPr>
                <w:rFonts w:ascii="Times New Roman" w:hAnsi="Times New Roman"/>
                <w:color w:val="auto"/>
              </w:rPr>
            </w:pPr>
            <w:r>
              <w:rPr>
                <w:rFonts w:ascii="Times New Roman" w:hAnsi="Times New Roman"/>
                <w:color w:val="auto"/>
              </w:rPr>
              <w:t>705.97</w:t>
            </w:r>
          </w:p>
        </w:tc>
        <w:tc>
          <w:tcPr>
            <w:tcW w:w="1750" w:type="dxa"/>
            <w:vAlign w:val="center"/>
          </w:tcPr>
          <w:p>
            <w:pPr>
              <w:pStyle w:val="12"/>
              <w:rPr>
                <w:rFonts w:ascii="Times New Roman" w:hAnsi="Times New Roman"/>
                <w:color w:val="auto"/>
              </w:rPr>
            </w:pPr>
            <w:r>
              <w:rPr>
                <w:rFonts w:ascii="Times New Roman" w:hAnsi="Times New Roman"/>
                <w:color w:val="auto"/>
              </w:rPr>
              <w:t>466.65</w:t>
            </w:r>
          </w:p>
        </w:tc>
        <w:tc>
          <w:tcPr>
            <w:tcW w:w="1847" w:type="dxa"/>
            <w:vAlign w:val="center"/>
          </w:tcPr>
          <w:p>
            <w:pPr>
              <w:pStyle w:val="12"/>
              <w:rPr>
                <w:rFonts w:ascii="Times New Roman" w:hAnsi="Times New Roman"/>
                <w:color w:val="auto"/>
              </w:rPr>
            </w:pPr>
            <w:r>
              <w:rPr>
                <w:rFonts w:ascii="Times New Roman" w:hAnsi="Times New Roman"/>
                <w:color w:val="auto"/>
              </w:rPr>
              <w:t>70.07</w:t>
            </w:r>
          </w:p>
        </w:tc>
        <w:tc>
          <w:tcPr>
            <w:tcW w:w="1740" w:type="dxa"/>
            <w:vAlign w:val="center"/>
          </w:tcPr>
          <w:p>
            <w:pPr>
              <w:pStyle w:val="12"/>
              <w:rPr>
                <w:rFonts w:ascii="Times New Roman" w:hAnsi="Times New Roman"/>
                <w:color w:val="auto"/>
              </w:rPr>
            </w:pPr>
            <w:r>
              <w:rPr>
                <w:rFonts w:ascii="Times New Roman" w:hAnsi="Times New Roman"/>
                <w:color w:val="auto"/>
              </w:rPr>
              <w:t>190.3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116" w:type="dxa"/>
            <w:vAlign w:val="center"/>
          </w:tcPr>
          <w:p>
            <w:pPr>
              <w:pStyle w:val="12"/>
              <w:rPr>
                <w:rFonts w:ascii="Times New Roman" w:hAnsi="Times New Roman"/>
                <w:color w:val="auto"/>
              </w:rPr>
            </w:pPr>
            <w:r>
              <w:rPr>
                <w:rFonts w:ascii="Times New Roman" w:hAnsi="Times New Roman"/>
                <w:color w:val="auto"/>
              </w:rPr>
              <w:t>2016年</w:t>
            </w:r>
          </w:p>
        </w:tc>
        <w:tc>
          <w:tcPr>
            <w:tcW w:w="1750" w:type="dxa"/>
            <w:vAlign w:val="center"/>
          </w:tcPr>
          <w:p>
            <w:pPr>
              <w:pStyle w:val="12"/>
              <w:rPr>
                <w:rFonts w:ascii="Times New Roman" w:hAnsi="Times New Roman"/>
                <w:color w:val="auto"/>
              </w:rPr>
            </w:pPr>
            <w:r>
              <w:rPr>
                <w:rFonts w:ascii="Times New Roman" w:hAnsi="Times New Roman"/>
                <w:color w:val="auto"/>
              </w:rPr>
              <w:t>783.1</w:t>
            </w:r>
          </w:p>
        </w:tc>
        <w:tc>
          <w:tcPr>
            <w:tcW w:w="1750" w:type="dxa"/>
            <w:vAlign w:val="center"/>
          </w:tcPr>
          <w:p>
            <w:pPr>
              <w:pStyle w:val="12"/>
              <w:rPr>
                <w:rFonts w:ascii="Times New Roman" w:hAnsi="Times New Roman"/>
                <w:color w:val="auto"/>
              </w:rPr>
            </w:pPr>
            <w:r>
              <w:rPr>
                <w:rFonts w:ascii="Times New Roman" w:hAnsi="Times New Roman"/>
                <w:color w:val="auto"/>
              </w:rPr>
              <w:t>410.04</w:t>
            </w:r>
          </w:p>
        </w:tc>
        <w:tc>
          <w:tcPr>
            <w:tcW w:w="1847" w:type="dxa"/>
            <w:vAlign w:val="center"/>
          </w:tcPr>
          <w:p>
            <w:pPr>
              <w:pStyle w:val="12"/>
              <w:rPr>
                <w:rFonts w:ascii="Times New Roman" w:hAnsi="Times New Roman"/>
                <w:color w:val="auto"/>
              </w:rPr>
            </w:pPr>
            <w:r>
              <w:rPr>
                <w:rFonts w:ascii="Times New Roman" w:hAnsi="Times New Roman"/>
                <w:color w:val="auto"/>
              </w:rPr>
              <w:t>81.75</w:t>
            </w:r>
          </w:p>
        </w:tc>
        <w:tc>
          <w:tcPr>
            <w:tcW w:w="1740" w:type="dxa"/>
            <w:vAlign w:val="center"/>
          </w:tcPr>
          <w:p>
            <w:pPr>
              <w:pStyle w:val="12"/>
              <w:rPr>
                <w:rFonts w:ascii="Times New Roman" w:hAnsi="Times New Roman"/>
                <w:color w:val="auto"/>
              </w:rPr>
            </w:pPr>
            <w:r>
              <w:rPr>
                <w:rFonts w:ascii="Times New Roman" w:hAnsi="Times New Roman"/>
                <w:color w:val="auto"/>
              </w:rPr>
              <w:t>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116" w:type="dxa"/>
            <w:vAlign w:val="center"/>
          </w:tcPr>
          <w:p>
            <w:pPr>
              <w:pStyle w:val="12"/>
              <w:rPr>
                <w:rFonts w:ascii="Times New Roman" w:hAnsi="Times New Roman"/>
                <w:color w:val="auto"/>
              </w:rPr>
            </w:pPr>
            <w:r>
              <w:rPr>
                <w:rFonts w:ascii="Times New Roman" w:hAnsi="Times New Roman"/>
                <w:color w:val="auto"/>
              </w:rPr>
              <w:t>2017年</w:t>
            </w:r>
          </w:p>
        </w:tc>
        <w:tc>
          <w:tcPr>
            <w:tcW w:w="1750" w:type="dxa"/>
            <w:vAlign w:val="center"/>
          </w:tcPr>
          <w:p>
            <w:pPr>
              <w:pStyle w:val="12"/>
              <w:rPr>
                <w:rFonts w:ascii="Times New Roman" w:hAnsi="Times New Roman"/>
                <w:color w:val="auto"/>
              </w:rPr>
            </w:pPr>
            <w:r>
              <w:rPr>
                <w:rFonts w:ascii="Times New Roman" w:hAnsi="Times New Roman"/>
                <w:color w:val="auto"/>
              </w:rPr>
              <w:t>868.09</w:t>
            </w:r>
          </w:p>
        </w:tc>
        <w:tc>
          <w:tcPr>
            <w:tcW w:w="1750" w:type="dxa"/>
            <w:vAlign w:val="center"/>
          </w:tcPr>
          <w:p>
            <w:pPr>
              <w:pStyle w:val="12"/>
              <w:rPr>
                <w:rFonts w:ascii="Times New Roman" w:hAnsi="Times New Roman"/>
                <w:color w:val="auto"/>
              </w:rPr>
            </w:pPr>
            <w:r>
              <w:rPr>
                <w:rFonts w:ascii="Times New Roman" w:hAnsi="Times New Roman"/>
                <w:color w:val="auto"/>
              </w:rPr>
              <w:t>549.76</w:t>
            </w:r>
          </w:p>
        </w:tc>
        <w:tc>
          <w:tcPr>
            <w:tcW w:w="1847" w:type="dxa"/>
            <w:vAlign w:val="center"/>
          </w:tcPr>
          <w:p>
            <w:pPr>
              <w:pStyle w:val="12"/>
              <w:rPr>
                <w:rFonts w:ascii="Times New Roman" w:hAnsi="Times New Roman"/>
                <w:color w:val="auto"/>
              </w:rPr>
            </w:pPr>
            <w:r>
              <w:rPr>
                <w:rFonts w:ascii="Times New Roman" w:hAnsi="Times New Roman"/>
                <w:color w:val="auto"/>
              </w:rPr>
              <w:t>99.94</w:t>
            </w:r>
          </w:p>
        </w:tc>
        <w:tc>
          <w:tcPr>
            <w:tcW w:w="1740" w:type="dxa"/>
            <w:vAlign w:val="center"/>
          </w:tcPr>
          <w:p>
            <w:pPr>
              <w:pStyle w:val="12"/>
              <w:rPr>
                <w:rFonts w:ascii="Times New Roman" w:hAnsi="Times New Roman"/>
                <w:color w:val="auto"/>
              </w:rPr>
            </w:pPr>
            <w:r>
              <w:rPr>
                <w:rFonts w:ascii="Times New Roman" w:hAnsi="Times New Roman"/>
                <w:color w:val="auto"/>
              </w:rPr>
              <w:t>117.71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116" w:type="dxa"/>
            <w:vAlign w:val="center"/>
          </w:tcPr>
          <w:p>
            <w:pPr>
              <w:pStyle w:val="12"/>
              <w:rPr>
                <w:rFonts w:ascii="Times New Roman" w:hAnsi="Times New Roman"/>
                <w:color w:val="auto"/>
              </w:rPr>
            </w:pPr>
            <w:r>
              <w:rPr>
                <w:rFonts w:ascii="Times New Roman" w:hAnsi="Times New Roman"/>
                <w:color w:val="auto"/>
              </w:rPr>
              <w:t>2018年</w:t>
            </w:r>
          </w:p>
        </w:tc>
        <w:tc>
          <w:tcPr>
            <w:tcW w:w="1750" w:type="dxa"/>
            <w:vAlign w:val="center"/>
          </w:tcPr>
          <w:p>
            <w:pPr>
              <w:pStyle w:val="12"/>
              <w:rPr>
                <w:rFonts w:ascii="Times New Roman" w:hAnsi="Times New Roman"/>
                <w:color w:val="auto"/>
              </w:rPr>
            </w:pPr>
            <w:r>
              <w:rPr>
                <w:rFonts w:ascii="Times New Roman" w:hAnsi="Times New Roman"/>
                <w:color w:val="auto"/>
              </w:rPr>
              <w:t>756.11</w:t>
            </w:r>
          </w:p>
        </w:tc>
        <w:tc>
          <w:tcPr>
            <w:tcW w:w="1750" w:type="dxa"/>
            <w:vAlign w:val="center"/>
          </w:tcPr>
          <w:p>
            <w:pPr>
              <w:pStyle w:val="12"/>
              <w:rPr>
                <w:rFonts w:ascii="Times New Roman" w:hAnsi="Times New Roman"/>
                <w:color w:val="auto"/>
              </w:rPr>
            </w:pPr>
            <w:r>
              <w:rPr>
                <w:rFonts w:ascii="Times New Roman" w:hAnsi="Times New Roman"/>
                <w:color w:val="auto"/>
              </w:rPr>
              <w:t>402.97</w:t>
            </w:r>
          </w:p>
        </w:tc>
        <w:tc>
          <w:tcPr>
            <w:tcW w:w="1847" w:type="dxa"/>
            <w:vAlign w:val="center"/>
          </w:tcPr>
          <w:p>
            <w:pPr>
              <w:pStyle w:val="12"/>
              <w:rPr>
                <w:rFonts w:ascii="Times New Roman" w:hAnsi="Times New Roman"/>
                <w:color w:val="auto"/>
              </w:rPr>
            </w:pPr>
            <w:r>
              <w:rPr>
                <w:rFonts w:ascii="Times New Roman" w:hAnsi="Times New Roman"/>
                <w:color w:val="auto"/>
              </w:rPr>
              <w:t>119.08</w:t>
            </w:r>
          </w:p>
        </w:tc>
        <w:tc>
          <w:tcPr>
            <w:tcW w:w="1740" w:type="dxa"/>
            <w:vAlign w:val="center"/>
          </w:tcPr>
          <w:p>
            <w:pPr>
              <w:pStyle w:val="12"/>
              <w:rPr>
                <w:rFonts w:ascii="Times New Roman" w:hAnsi="Times New Roman"/>
                <w:color w:val="auto"/>
              </w:rPr>
            </w:pPr>
            <w:r>
              <w:rPr>
                <w:rFonts w:ascii="Times New Roman" w:hAnsi="Times New Roman"/>
                <w:color w:val="auto"/>
              </w:rPr>
              <w:t>201.74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116" w:type="dxa"/>
            <w:vAlign w:val="center"/>
          </w:tcPr>
          <w:p>
            <w:pPr>
              <w:pStyle w:val="12"/>
              <w:rPr>
                <w:rFonts w:ascii="Times New Roman" w:hAnsi="Times New Roman"/>
                <w:color w:val="auto"/>
              </w:rPr>
            </w:pPr>
            <w:r>
              <w:rPr>
                <w:rFonts w:ascii="Times New Roman" w:hAnsi="Times New Roman"/>
                <w:color w:val="auto"/>
              </w:rPr>
              <w:t>2019年</w:t>
            </w:r>
          </w:p>
        </w:tc>
        <w:tc>
          <w:tcPr>
            <w:tcW w:w="1750" w:type="dxa"/>
            <w:vAlign w:val="center"/>
          </w:tcPr>
          <w:p>
            <w:pPr>
              <w:pStyle w:val="12"/>
              <w:rPr>
                <w:rFonts w:ascii="Times New Roman" w:hAnsi="Times New Roman"/>
                <w:color w:val="auto"/>
              </w:rPr>
            </w:pPr>
            <w:r>
              <w:rPr>
                <w:rFonts w:ascii="Times New Roman" w:hAnsi="Times New Roman"/>
                <w:color w:val="auto"/>
              </w:rPr>
              <w:t>694.86</w:t>
            </w:r>
          </w:p>
        </w:tc>
        <w:tc>
          <w:tcPr>
            <w:tcW w:w="1750" w:type="dxa"/>
            <w:vAlign w:val="center"/>
          </w:tcPr>
          <w:p>
            <w:pPr>
              <w:pStyle w:val="12"/>
              <w:rPr>
                <w:rFonts w:ascii="Times New Roman" w:hAnsi="Times New Roman"/>
                <w:color w:val="auto"/>
              </w:rPr>
            </w:pPr>
            <w:r>
              <w:rPr>
                <w:rFonts w:ascii="Times New Roman" w:hAnsi="Times New Roman"/>
                <w:color w:val="auto"/>
              </w:rPr>
              <w:t>299.81</w:t>
            </w:r>
          </w:p>
        </w:tc>
        <w:tc>
          <w:tcPr>
            <w:tcW w:w="1847" w:type="dxa"/>
            <w:vAlign w:val="center"/>
          </w:tcPr>
          <w:p>
            <w:pPr>
              <w:pStyle w:val="12"/>
              <w:rPr>
                <w:rFonts w:ascii="Times New Roman" w:hAnsi="Times New Roman"/>
                <w:color w:val="auto"/>
              </w:rPr>
            </w:pPr>
            <w:r>
              <w:rPr>
                <w:rFonts w:ascii="Times New Roman" w:hAnsi="Times New Roman"/>
                <w:color w:val="auto"/>
              </w:rPr>
              <w:t>134.46</w:t>
            </w:r>
          </w:p>
        </w:tc>
        <w:tc>
          <w:tcPr>
            <w:tcW w:w="1740" w:type="dxa"/>
            <w:vAlign w:val="center"/>
          </w:tcPr>
          <w:p>
            <w:pPr>
              <w:pStyle w:val="12"/>
              <w:rPr>
                <w:rFonts w:ascii="Times New Roman" w:hAnsi="Times New Roman"/>
                <w:color w:val="auto"/>
              </w:rPr>
            </w:pPr>
            <w:r>
              <w:rPr>
                <w:rFonts w:ascii="Times New Roman" w:hAnsi="Times New Roman"/>
                <w:color w:val="auto"/>
              </w:rPr>
              <w:t>141.18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116" w:type="dxa"/>
            <w:vAlign w:val="center"/>
          </w:tcPr>
          <w:p>
            <w:pPr>
              <w:pStyle w:val="12"/>
              <w:rPr>
                <w:rFonts w:ascii="Times New Roman" w:hAnsi="Times New Roman"/>
                <w:color w:val="auto"/>
              </w:rPr>
            </w:pPr>
            <w:r>
              <w:rPr>
                <w:rFonts w:hint="eastAsia" w:ascii="Times New Roman" w:hAnsi="Times New Roman"/>
                <w:color w:val="auto"/>
              </w:rPr>
              <w:t>2020年</w:t>
            </w:r>
          </w:p>
        </w:tc>
        <w:tc>
          <w:tcPr>
            <w:tcW w:w="1750" w:type="dxa"/>
            <w:vAlign w:val="center"/>
          </w:tcPr>
          <w:p>
            <w:pPr>
              <w:pStyle w:val="12"/>
              <w:rPr>
                <w:rFonts w:ascii="Times New Roman" w:hAnsi="Times New Roman"/>
                <w:color w:val="auto"/>
              </w:rPr>
            </w:pPr>
            <w:r>
              <w:rPr>
                <w:rFonts w:hint="eastAsia" w:ascii="Times New Roman" w:hAnsi="Times New Roman"/>
                <w:color w:val="auto"/>
              </w:rPr>
              <w:t>1031.22</w:t>
            </w:r>
          </w:p>
        </w:tc>
        <w:tc>
          <w:tcPr>
            <w:tcW w:w="1750" w:type="dxa"/>
            <w:vAlign w:val="center"/>
          </w:tcPr>
          <w:p>
            <w:pPr>
              <w:pStyle w:val="12"/>
              <w:rPr>
                <w:rFonts w:ascii="Times New Roman" w:hAnsi="Times New Roman"/>
                <w:color w:val="auto"/>
              </w:rPr>
            </w:pPr>
            <w:r>
              <w:rPr>
                <w:rFonts w:hint="eastAsia" w:ascii="Times New Roman" w:hAnsi="Times New Roman"/>
                <w:color w:val="auto"/>
              </w:rPr>
              <w:t>688.08</w:t>
            </w:r>
          </w:p>
        </w:tc>
        <w:tc>
          <w:tcPr>
            <w:tcW w:w="1847" w:type="dxa"/>
            <w:vAlign w:val="center"/>
          </w:tcPr>
          <w:p>
            <w:pPr>
              <w:pStyle w:val="12"/>
              <w:rPr>
                <w:rFonts w:ascii="Times New Roman" w:hAnsi="Times New Roman"/>
                <w:color w:val="auto"/>
              </w:rPr>
            </w:pPr>
            <w:r>
              <w:rPr>
                <w:rFonts w:hint="eastAsia" w:ascii="Times New Roman" w:hAnsi="Times New Roman"/>
                <w:color w:val="auto"/>
              </w:rPr>
              <w:t>-</w:t>
            </w:r>
          </w:p>
        </w:tc>
        <w:tc>
          <w:tcPr>
            <w:tcW w:w="1740" w:type="dxa"/>
            <w:vAlign w:val="center"/>
          </w:tcPr>
          <w:p>
            <w:pPr>
              <w:pStyle w:val="12"/>
              <w:rPr>
                <w:rFonts w:ascii="Times New Roman" w:hAnsi="Times New Roman"/>
                <w:color w:val="auto"/>
              </w:rPr>
            </w:pPr>
            <w:r>
              <w:rPr>
                <w:rFonts w:hint="eastAsia" w:ascii="Times New Roman" w:hAnsi="Times New Roman"/>
                <w:color w:val="auto"/>
              </w:rPr>
              <w:t>88.52</w:t>
            </w:r>
          </w:p>
        </w:tc>
      </w:tr>
    </w:tbl>
    <w:p>
      <w:pPr>
        <w:pStyle w:val="10"/>
        <w:spacing w:before="0" w:beforeLines="0"/>
        <w:jc w:val="left"/>
        <w:rPr>
          <w:rFonts w:ascii="Times New Roman" w:hAnsi="Times New Roman"/>
          <w:color w:val="auto"/>
          <w:sz w:val="18"/>
          <w:szCs w:val="18"/>
        </w:rPr>
      </w:pPr>
      <w:r>
        <w:rPr>
          <w:rFonts w:hint="eastAsia" w:ascii="Times New Roman" w:hAnsi="Times New Roman"/>
          <w:color w:val="auto"/>
          <w:sz w:val="18"/>
          <w:szCs w:val="18"/>
        </w:rPr>
        <w:t>数据来源：《三亚统计年鉴-2019》及历年《三亚市国民经济和社会发展统计公报》</w:t>
      </w:r>
    </w:p>
    <w:p>
      <w:pPr>
        <w:rPr>
          <w:color w:val="auto"/>
        </w:rPr>
      </w:pPr>
    </w:p>
    <w:p>
      <w:pPr>
        <w:pStyle w:val="11"/>
        <w:rPr>
          <w:color w:val="auto"/>
        </w:rPr>
      </w:pPr>
      <w:r>
        <w:rPr>
          <w:color w:val="auto"/>
        </w:rPr>
        <w:drawing>
          <wp:inline distT="0" distB="0" distL="114300" distR="114300">
            <wp:extent cx="5171440" cy="2897505"/>
            <wp:effectExtent l="0" t="0" r="10160" b="17145"/>
            <wp:docPr id="7"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pStyle w:val="10"/>
        <w:spacing w:before="0" w:beforeLines="0"/>
        <w:rPr>
          <w:color w:val="auto"/>
        </w:rPr>
      </w:pPr>
      <w:r>
        <w:rPr>
          <w:rFonts w:hint="eastAsia"/>
          <w:color w:val="auto"/>
        </w:rPr>
        <w:t>图2-3  2011-2020年三亚市建筑发展概况统计图</w:t>
      </w:r>
    </w:p>
    <w:p>
      <w:pPr>
        <w:pStyle w:val="4"/>
        <w:rPr>
          <w:color w:val="auto"/>
        </w:rPr>
      </w:pPr>
      <w:bookmarkStart w:id="137" w:name="_Toc26410"/>
      <w:r>
        <w:rPr>
          <w:rFonts w:hint="eastAsia"/>
          <w:color w:val="auto"/>
        </w:rPr>
        <w:t>2.2.2</w:t>
      </w:r>
      <w:r>
        <w:rPr>
          <w:color w:val="auto"/>
        </w:rPr>
        <w:t>建设发展趋势</w:t>
      </w:r>
      <w:bookmarkEnd w:id="137"/>
    </w:p>
    <w:p>
      <w:pPr>
        <w:rPr>
          <w:color w:val="auto"/>
        </w:rPr>
      </w:pPr>
      <w:r>
        <w:rPr>
          <w:color w:val="auto"/>
        </w:rPr>
        <w:t>近年来三亚市普通商品住宅市场供应量骤增，在供大于求的市场环境下，普通商品住房的库存量逐年增加。</w:t>
      </w:r>
      <w:r>
        <w:rPr>
          <w:rFonts w:hint="eastAsia"/>
          <w:color w:val="auto"/>
        </w:rPr>
        <w:t>“</w:t>
      </w:r>
      <w:r>
        <w:rPr>
          <w:color w:val="auto"/>
        </w:rPr>
        <w:t>十三五</w:t>
      </w:r>
      <w:r>
        <w:rPr>
          <w:rFonts w:hint="eastAsia"/>
          <w:color w:val="auto"/>
        </w:rPr>
        <w:t>”</w:t>
      </w:r>
      <w:r>
        <w:rPr>
          <w:color w:val="auto"/>
        </w:rPr>
        <w:t>期间，围绕建设国际化热带旅游精品城市的目标，</w:t>
      </w:r>
      <w:r>
        <w:rPr>
          <w:rFonts w:hint="eastAsia"/>
          <w:color w:val="auto"/>
        </w:rPr>
        <w:t>三亚</w:t>
      </w:r>
      <w:r>
        <w:rPr>
          <w:color w:val="auto"/>
        </w:rPr>
        <w:t>合理控制房地产开发规模，统筹优化房地产空间布局，加快推动房地产产品结构多元化，逐步构建以经营性旅游地产为主导，商业地产、居住地产等协调发展的产品体系，促进三亚房地产</w:t>
      </w:r>
      <w:r>
        <w:rPr>
          <w:rFonts w:hint="eastAsia"/>
          <w:color w:val="auto"/>
        </w:rPr>
        <w:t>“</w:t>
      </w:r>
      <w:r>
        <w:rPr>
          <w:color w:val="auto"/>
        </w:rPr>
        <w:t>调存优增</w:t>
      </w:r>
      <w:r>
        <w:rPr>
          <w:rFonts w:hint="eastAsia"/>
          <w:color w:val="auto"/>
        </w:rPr>
        <w:t>”。“</w:t>
      </w:r>
      <w:r>
        <w:rPr>
          <w:color w:val="auto"/>
        </w:rPr>
        <w:t>十三五</w:t>
      </w:r>
      <w:r>
        <w:rPr>
          <w:rFonts w:hint="eastAsia"/>
          <w:color w:val="auto"/>
        </w:rPr>
        <w:t>”后期，房地产开发投资和销售大幅下降，</w:t>
      </w:r>
      <w:r>
        <w:rPr>
          <w:color w:val="auto"/>
        </w:rPr>
        <w:t>基于此，预测</w:t>
      </w:r>
      <w:r>
        <w:rPr>
          <w:rFonts w:hint="eastAsia"/>
          <w:color w:val="auto"/>
        </w:rPr>
        <w:t>未来几年</w:t>
      </w:r>
      <w:r>
        <w:rPr>
          <w:color w:val="auto"/>
        </w:rPr>
        <w:t>三亚市新建建筑面积将有所下降。</w:t>
      </w:r>
    </w:p>
    <w:p>
      <w:pPr>
        <w:rPr>
          <w:color w:val="auto"/>
        </w:rPr>
      </w:pPr>
      <w:r>
        <w:rPr>
          <w:rFonts w:hint="eastAsia"/>
          <w:color w:val="auto"/>
        </w:rPr>
        <w:t>“十四五”期间，三亚将紧密围绕“生态文明、平台建设、自主创新、产业升级、提升服务、创新机制”等主题，继续深化建筑节能的转型升级，实现建筑能效提升，推动节能建筑向绿色建筑、高能耗建筑向低能耗建筑的转变</w:t>
      </w:r>
      <w:r>
        <w:rPr>
          <w:color w:val="auto"/>
        </w:rPr>
        <w:t>。</w:t>
      </w:r>
    </w:p>
    <w:p>
      <w:pPr>
        <w:pStyle w:val="3"/>
        <w:spacing w:before="156" w:after="156"/>
        <w:rPr>
          <w:color w:val="auto"/>
        </w:rPr>
      </w:pPr>
      <w:bookmarkStart w:id="138" w:name="_Toc13851"/>
      <w:bookmarkStart w:id="139" w:name="_Toc12194"/>
      <w:bookmarkStart w:id="140" w:name="_Toc343691967"/>
      <w:bookmarkStart w:id="141" w:name="_Toc343617560"/>
      <w:bookmarkStart w:id="142" w:name="_Toc342491568"/>
      <w:bookmarkStart w:id="143" w:name="_Toc494555765"/>
      <w:bookmarkStart w:id="144" w:name="_Toc346465484"/>
      <w:bookmarkStart w:id="145" w:name="_Toc346717808"/>
      <w:bookmarkStart w:id="146" w:name="_Toc27875"/>
      <w:bookmarkStart w:id="147" w:name="_Toc863"/>
      <w:r>
        <w:rPr>
          <w:rFonts w:hint="eastAsia"/>
          <w:color w:val="auto"/>
        </w:rPr>
        <w:t>2.3</w:t>
      </w:r>
      <w:r>
        <w:rPr>
          <w:color w:val="auto"/>
        </w:rPr>
        <w:t>三亚市区域能源</w:t>
      </w:r>
      <w:r>
        <w:rPr>
          <w:rFonts w:hint="eastAsia"/>
          <w:color w:val="auto"/>
        </w:rPr>
        <w:t>规划及</w:t>
      </w:r>
      <w:r>
        <w:rPr>
          <w:color w:val="auto"/>
        </w:rPr>
        <w:t>现状</w:t>
      </w:r>
      <w:bookmarkEnd w:id="138"/>
      <w:bookmarkEnd w:id="139"/>
    </w:p>
    <w:p>
      <w:pPr>
        <w:pStyle w:val="4"/>
        <w:rPr>
          <w:color w:val="auto"/>
        </w:rPr>
      </w:pPr>
      <w:bookmarkStart w:id="148" w:name="_Toc23289"/>
      <w:r>
        <w:rPr>
          <w:rFonts w:hint="eastAsia"/>
          <w:color w:val="auto"/>
        </w:rPr>
        <w:t>2.3</w:t>
      </w:r>
      <w:r>
        <w:rPr>
          <w:color w:val="auto"/>
        </w:rPr>
        <w:t>.1三亚市区域能源</w:t>
      </w:r>
      <w:r>
        <w:rPr>
          <w:rFonts w:hint="eastAsia"/>
          <w:color w:val="auto"/>
        </w:rPr>
        <w:t>规划</w:t>
      </w:r>
      <w:bookmarkEnd w:id="148"/>
    </w:p>
    <w:p>
      <w:pPr>
        <w:rPr>
          <w:color w:val="auto"/>
        </w:rPr>
      </w:pPr>
      <w:r>
        <w:rPr>
          <w:rFonts w:hint="eastAsia"/>
          <w:color w:val="auto"/>
        </w:rPr>
        <w:t>根据《三亚市总体规划》（空间类2015-2030）：</w:t>
      </w:r>
    </w:p>
    <w:p>
      <w:pPr>
        <w:rPr>
          <w:color w:val="auto"/>
        </w:rPr>
      </w:pPr>
      <w:r>
        <w:rPr>
          <w:color w:val="auto"/>
        </w:rPr>
        <w:t>2020年规划人均用电量为5484千瓦时/年，年供电量为52.1亿千瓦时，最大负荷为947.3兆瓦。</w:t>
      </w:r>
    </w:p>
    <w:p>
      <w:pPr>
        <w:rPr>
          <w:color w:val="auto"/>
        </w:rPr>
      </w:pPr>
      <w:r>
        <w:rPr>
          <w:rFonts w:hint="eastAsia"/>
          <w:color w:val="auto"/>
        </w:rPr>
        <w:t>2020年居民、公服、分布式能源用气量达到17280标准立方米/年，其中中心城区为9858标准立方米/年（104Nm</w:t>
      </w:r>
      <w:r>
        <w:rPr>
          <w:rFonts w:hint="eastAsia"/>
          <w:color w:val="auto"/>
          <w:vertAlign w:val="superscript"/>
        </w:rPr>
        <w:t>3</w:t>
      </w:r>
      <w:r>
        <w:rPr>
          <w:rFonts w:hint="eastAsia"/>
          <w:color w:val="auto"/>
        </w:rPr>
        <w:t>/a），海棠湾片区为3061标准立方米/年，亚龙湾片区为1142标准立方米/年，红塘湾、天涯区片区为735标准立方米/年，崖城片区为2484标准立方米/年。</w:t>
      </w:r>
    </w:p>
    <w:p>
      <w:pPr>
        <w:rPr>
          <w:color w:val="auto"/>
        </w:rPr>
      </w:pPr>
      <w:r>
        <w:rPr>
          <w:color w:val="auto"/>
        </w:rPr>
        <w:t>2020年全市域需水量为1.72亿立方米</w:t>
      </w:r>
      <w:r>
        <w:rPr>
          <w:rFonts w:hint="eastAsia"/>
          <w:color w:val="auto"/>
        </w:rPr>
        <w:t>。</w:t>
      </w:r>
      <w:r>
        <w:rPr>
          <w:color w:val="auto"/>
        </w:rPr>
        <w:t>根据各水库的水资源供应能力，可利用水资源量合计为3.06亿立方米，能满足全市用水需要。</w:t>
      </w:r>
    </w:p>
    <w:p>
      <w:pPr>
        <w:pStyle w:val="4"/>
        <w:rPr>
          <w:color w:val="auto"/>
        </w:rPr>
      </w:pPr>
      <w:bookmarkStart w:id="149" w:name="_Toc23869"/>
      <w:r>
        <w:rPr>
          <w:rFonts w:hint="eastAsia"/>
          <w:color w:val="auto"/>
        </w:rPr>
        <w:t>2.3</w:t>
      </w:r>
      <w:r>
        <w:rPr>
          <w:color w:val="auto"/>
        </w:rPr>
        <w:t>.</w:t>
      </w:r>
      <w:r>
        <w:rPr>
          <w:rFonts w:hint="eastAsia"/>
          <w:color w:val="auto"/>
        </w:rPr>
        <w:t>2</w:t>
      </w:r>
      <w:r>
        <w:rPr>
          <w:color w:val="auto"/>
        </w:rPr>
        <w:t>三亚市区域能源使用现状</w:t>
      </w:r>
      <w:bookmarkEnd w:id="149"/>
    </w:p>
    <w:bookmarkEnd w:id="140"/>
    <w:bookmarkEnd w:id="141"/>
    <w:bookmarkEnd w:id="142"/>
    <w:bookmarkEnd w:id="143"/>
    <w:bookmarkEnd w:id="144"/>
    <w:bookmarkEnd w:id="145"/>
    <w:bookmarkEnd w:id="146"/>
    <w:bookmarkEnd w:id="147"/>
    <w:p>
      <w:pPr>
        <w:rPr>
          <w:color w:val="auto"/>
        </w:rPr>
      </w:pPr>
      <w:r>
        <w:rPr>
          <w:color w:val="auto"/>
        </w:rPr>
        <w:t>据统计，</w:t>
      </w:r>
      <w:r>
        <w:rPr>
          <w:rFonts w:hint="eastAsia"/>
          <w:color w:val="auto"/>
        </w:rPr>
        <w:t>“</w:t>
      </w:r>
      <w:r>
        <w:rPr>
          <w:color w:val="auto"/>
        </w:rPr>
        <w:t>十二五</w:t>
      </w:r>
      <w:r>
        <w:rPr>
          <w:rFonts w:hint="eastAsia"/>
          <w:color w:val="auto"/>
        </w:rPr>
        <w:t>”</w:t>
      </w:r>
      <w:r>
        <w:rPr>
          <w:color w:val="auto"/>
        </w:rPr>
        <w:t>期间，三亚市能源消耗总量逐年提高，与2010年相比，2015年能源消耗总量增长</w:t>
      </w:r>
      <w:r>
        <w:rPr>
          <w:rFonts w:hint="eastAsia"/>
          <w:color w:val="auto"/>
        </w:rPr>
        <w:t>38.5</w:t>
      </w:r>
      <w:r>
        <w:rPr>
          <w:color w:val="auto"/>
        </w:rPr>
        <w:t>%</w:t>
      </w:r>
      <w:r>
        <w:rPr>
          <w:rFonts w:hint="eastAsia"/>
          <w:color w:val="auto"/>
        </w:rPr>
        <w:t>（表2-2）。</w:t>
      </w:r>
      <w:r>
        <w:rPr>
          <w:color w:val="auto"/>
        </w:rPr>
        <w:t>三亚市总用电量逐年增加，与2010年相比，2015年三亚市年总用电量提高85.68%，第三产业用电量提高93.46%，居民生活用电量翻一番</w:t>
      </w:r>
      <w:r>
        <w:rPr>
          <w:rFonts w:hint="eastAsia"/>
          <w:color w:val="auto"/>
        </w:rPr>
        <w:t>（表2-3）</w:t>
      </w:r>
      <w:r>
        <w:rPr>
          <w:color w:val="auto"/>
        </w:rPr>
        <w:t>。</w:t>
      </w:r>
    </w:p>
    <w:p>
      <w:pPr>
        <w:rPr>
          <w:color w:val="auto"/>
        </w:rPr>
      </w:pPr>
      <w:r>
        <w:rPr>
          <w:rFonts w:hint="eastAsia"/>
          <w:color w:val="auto"/>
        </w:rPr>
        <w:t>“</w:t>
      </w:r>
      <w:r>
        <w:rPr>
          <w:color w:val="auto"/>
        </w:rPr>
        <w:t>十</w:t>
      </w:r>
      <w:r>
        <w:rPr>
          <w:rFonts w:hint="eastAsia"/>
          <w:color w:val="auto"/>
        </w:rPr>
        <w:t>三</w:t>
      </w:r>
      <w:r>
        <w:rPr>
          <w:color w:val="auto"/>
        </w:rPr>
        <w:t>五</w:t>
      </w:r>
      <w:r>
        <w:rPr>
          <w:rFonts w:hint="eastAsia"/>
          <w:color w:val="auto"/>
        </w:rPr>
        <w:t>”</w:t>
      </w:r>
      <w:r>
        <w:rPr>
          <w:color w:val="auto"/>
        </w:rPr>
        <w:t>期间，</w:t>
      </w:r>
      <w:r>
        <w:rPr>
          <w:rFonts w:hint="eastAsia"/>
          <w:color w:val="auto"/>
        </w:rPr>
        <w:t>单位GDP能耗持续下降。按2005年可比价增加值计算，2</w:t>
      </w:r>
      <w:r>
        <w:rPr>
          <w:color w:val="auto"/>
        </w:rPr>
        <w:t>019</w:t>
      </w:r>
      <w:r>
        <w:rPr>
          <w:rFonts w:hint="eastAsia"/>
          <w:color w:val="auto"/>
        </w:rPr>
        <w:t>年上半年全市单位GDP能耗（不含农垦、中海油，下同）为0.7032吨标准煤</w:t>
      </w:r>
      <w:r>
        <w:rPr>
          <w:rFonts w:hint="eastAsia" w:ascii="微软雅黑" w:hAnsi="微软雅黑" w:eastAsia="微软雅黑" w:cs="微软雅黑"/>
          <w:color w:val="auto"/>
        </w:rPr>
        <w:t>∕</w:t>
      </w:r>
      <w:r>
        <w:rPr>
          <w:rFonts w:hint="eastAsia" w:ascii="仿宋_GB2312" w:hAnsi="仿宋_GB2312" w:cs="仿宋_GB2312"/>
          <w:color w:val="auto"/>
        </w:rPr>
        <w:t>万元，同比下降</w:t>
      </w:r>
      <w:r>
        <w:rPr>
          <w:rFonts w:hint="eastAsia"/>
          <w:color w:val="auto"/>
        </w:rPr>
        <w:t>5.01％。三亚市单位GDP能耗，自2006年下降1.37％、2007年下降4.82％、2008年下降6.84％之后，2</w:t>
      </w:r>
      <w:r>
        <w:rPr>
          <w:color w:val="auto"/>
        </w:rPr>
        <w:t>019</w:t>
      </w:r>
      <w:r>
        <w:rPr>
          <w:rFonts w:hint="eastAsia"/>
          <w:color w:val="auto"/>
        </w:rPr>
        <w:t>年上半年又较大幅度下降。</w:t>
      </w:r>
    </w:p>
    <w:p>
      <w:pPr>
        <w:pStyle w:val="10"/>
        <w:spacing w:before="312"/>
        <w:rPr>
          <w:rFonts w:ascii="Times New Roman" w:hAnsi="Times New Roman"/>
          <w:color w:val="auto"/>
          <w:sz w:val="21"/>
          <w:szCs w:val="21"/>
        </w:rPr>
      </w:pPr>
      <w:r>
        <w:rPr>
          <w:rFonts w:ascii="Times New Roman" w:hAnsi="Times New Roman"/>
          <w:color w:val="auto"/>
          <w:sz w:val="21"/>
          <w:szCs w:val="21"/>
        </w:rPr>
        <w:t xml:space="preserve">表2-2 </w:t>
      </w:r>
      <w:r>
        <w:rPr>
          <w:rFonts w:hint="eastAsia" w:ascii="Times New Roman" w:hAnsi="Times New Roman"/>
          <w:color w:val="auto"/>
          <w:sz w:val="21"/>
          <w:szCs w:val="21"/>
        </w:rPr>
        <w:t>“</w:t>
      </w:r>
      <w:r>
        <w:rPr>
          <w:rFonts w:ascii="Times New Roman" w:hAnsi="Times New Roman"/>
          <w:color w:val="auto"/>
          <w:sz w:val="21"/>
          <w:szCs w:val="21"/>
        </w:rPr>
        <w:t>十二五</w:t>
      </w:r>
      <w:r>
        <w:rPr>
          <w:rFonts w:hint="eastAsia" w:ascii="Times New Roman" w:hAnsi="Times New Roman"/>
          <w:color w:val="auto"/>
          <w:sz w:val="21"/>
          <w:szCs w:val="21"/>
        </w:rPr>
        <w:t>”</w:t>
      </w:r>
      <w:r>
        <w:rPr>
          <w:rFonts w:ascii="Times New Roman" w:hAnsi="Times New Roman"/>
          <w:color w:val="auto"/>
          <w:sz w:val="21"/>
          <w:szCs w:val="21"/>
        </w:rPr>
        <w:t>期间三亚市能源消费概况</w:t>
      </w:r>
    </w:p>
    <w:tbl>
      <w:tblPr>
        <w:tblStyle w:val="39"/>
        <w:tblW w:w="855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1"/>
        <w:gridCol w:w="907"/>
        <w:gridCol w:w="907"/>
        <w:gridCol w:w="907"/>
        <w:gridCol w:w="907"/>
        <w:gridCol w:w="907"/>
        <w:gridCol w:w="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111" w:type="dxa"/>
            <w:vAlign w:val="center"/>
          </w:tcPr>
          <w:p>
            <w:pPr>
              <w:pStyle w:val="12"/>
              <w:rPr>
                <w:rFonts w:ascii="Times New Roman" w:hAnsi="Times New Roman"/>
                <w:b/>
                <w:bCs/>
                <w:color w:val="auto"/>
              </w:rPr>
            </w:pPr>
            <w:r>
              <w:rPr>
                <w:rFonts w:ascii="Times New Roman" w:hAnsi="Times New Roman"/>
                <w:b/>
                <w:bCs/>
                <w:color w:val="auto"/>
              </w:rPr>
              <w:t>名称</w:t>
            </w:r>
          </w:p>
        </w:tc>
        <w:tc>
          <w:tcPr>
            <w:tcW w:w="907" w:type="dxa"/>
            <w:vAlign w:val="center"/>
          </w:tcPr>
          <w:p>
            <w:pPr>
              <w:pStyle w:val="12"/>
              <w:rPr>
                <w:rFonts w:ascii="Times New Roman" w:hAnsi="Times New Roman"/>
                <w:b/>
                <w:bCs/>
                <w:color w:val="auto"/>
              </w:rPr>
            </w:pPr>
            <w:r>
              <w:rPr>
                <w:rFonts w:ascii="Times New Roman" w:hAnsi="Times New Roman"/>
                <w:b/>
                <w:bCs/>
                <w:color w:val="auto"/>
              </w:rPr>
              <w:t>2010年</w:t>
            </w:r>
          </w:p>
        </w:tc>
        <w:tc>
          <w:tcPr>
            <w:tcW w:w="907" w:type="dxa"/>
            <w:vAlign w:val="center"/>
          </w:tcPr>
          <w:p>
            <w:pPr>
              <w:pStyle w:val="12"/>
              <w:rPr>
                <w:rFonts w:ascii="Times New Roman" w:hAnsi="Times New Roman"/>
                <w:b/>
                <w:bCs/>
                <w:color w:val="auto"/>
              </w:rPr>
            </w:pPr>
            <w:r>
              <w:rPr>
                <w:rFonts w:ascii="Times New Roman" w:hAnsi="Times New Roman"/>
                <w:b/>
                <w:bCs/>
                <w:color w:val="auto"/>
              </w:rPr>
              <w:t>2011年</w:t>
            </w:r>
          </w:p>
        </w:tc>
        <w:tc>
          <w:tcPr>
            <w:tcW w:w="907" w:type="dxa"/>
            <w:vAlign w:val="center"/>
          </w:tcPr>
          <w:p>
            <w:pPr>
              <w:pStyle w:val="12"/>
              <w:rPr>
                <w:rFonts w:ascii="Times New Roman" w:hAnsi="Times New Roman"/>
                <w:b/>
                <w:bCs/>
                <w:color w:val="auto"/>
              </w:rPr>
            </w:pPr>
            <w:r>
              <w:rPr>
                <w:rFonts w:ascii="Times New Roman" w:hAnsi="Times New Roman"/>
                <w:b/>
                <w:bCs/>
                <w:color w:val="auto"/>
              </w:rPr>
              <w:t>2012年</w:t>
            </w:r>
          </w:p>
        </w:tc>
        <w:tc>
          <w:tcPr>
            <w:tcW w:w="907" w:type="dxa"/>
            <w:vAlign w:val="center"/>
          </w:tcPr>
          <w:p>
            <w:pPr>
              <w:pStyle w:val="12"/>
              <w:rPr>
                <w:rFonts w:ascii="Times New Roman" w:hAnsi="Times New Roman"/>
                <w:b/>
                <w:bCs/>
                <w:color w:val="auto"/>
              </w:rPr>
            </w:pPr>
            <w:r>
              <w:rPr>
                <w:rFonts w:ascii="Times New Roman" w:hAnsi="Times New Roman"/>
                <w:b/>
                <w:bCs/>
                <w:color w:val="auto"/>
              </w:rPr>
              <w:t>2013年</w:t>
            </w:r>
          </w:p>
        </w:tc>
        <w:tc>
          <w:tcPr>
            <w:tcW w:w="907" w:type="dxa"/>
            <w:vAlign w:val="center"/>
          </w:tcPr>
          <w:p>
            <w:pPr>
              <w:pStyle w:val="12"/>
              <w:rPr>
                <w:rFonts w:ascii="Times New Roman" w:hAnsi="Times New Roman"/>
                <w:b/>
                <w:bCs/>
                <w:color w:val="auto"/>
              </w:rPr>
            </w:pPr>
            <w:r>
              <w:rPr>
                <w:rFonts w:ascii="Times New Roman" w:hAnsi="Times New Roman"/>
                <w:b/>
                <w:bCs/>
                <w:color w:val="auto"/>
              </w:rPr>
              <w:t>2014年</w:t>
            </w:r>
          </w:p>
        </w:tc>
        <w:tc>
          <w:tcPr>
            <w:tcW w:w="907" w:type="dxa"/>
            <w:vAlign w:val="center"/>
          </w:tcPr>
          <w:p>
            <w:pPr>
              <w:pStyle w:val="12"/>
              <w:rPr>
                <w:rFonts w:ascii="Times New Roman" w:hAnsi="Times New Roman"/>
                <w:b/>
                <w:bCs/>
                <w:color w:val="auto"/>
              </w:rPr>
            </w:pPr>
            <w:r>
              <w:rPr>
                <w:rFonts w:ascii="Times New Roman" w:hAnsi="Times New Roman"/>
                <w:b/>
                <w:bCs/>
                <w:color w:val="auto"/>
              </w:rPr>
              <w:t>2015年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111" w:type="dxa"/>
            <w:vAlign w:val="center"/>
          </w:tcPr>
          <w:p>
            <w:pPr>
              <w:pStyle w:val="12"/>
              <w:rPr>
                <w:rFonts w:ascii="Times New Roman" w:hAnsi="Times New Roman"/>
                <w:color w:val="auto"/>
              </w:rPr>
            </w:pPr>
            <w:r>
              <w:rPr>
                <w:rFonts w:ascii="Times New Roman" w:hAnsi="Times New Roman"/>
                <w:color w:val="auto"/>
              </w:rPr>
              <w:t>能源消耗总量（万吨标准煤）</w:t>
            </w:r>
          </w:p>
        </w:tc>
        <w:tc>
          <w:tcPr>
            <w:tcW w:w="907" w:type="dxa"/>
            <w:vAlign w:val="center"/>
          </w:tcPr>
          <w:p>
            <w:pPr>
              <w:pStyle w:val="12"/>
              <w:rPr>
                <w:rFonts w:ascii="Times New Roman" w:hAnsi="Times New Roman"/>
                <w:color w:val="auto"/>
              </w:rPr>
            </w:pPr>
            <w:r>
              <w:rPr>
                <w:rFonts w:ascii="Times New Roman" w:hAnsi="Times New Roman"/>
                <w:color w:val="auto"/>
              </w:rPr>
              <w:t>108.98</w:t>
            </w:r>
          </w:p>
        </w:tc>
        <w:tc>
          <w:tcPr>
            <w:tcW w:w="907" w:type="dxa"/>
            <w:vAlign w:val="center"/>
          </w:tcPr>
          <w:p>
            <w:pPr>
              <w:pStyle w:val="12"/>
              <w:rPr>
                <w:rFonts w:ascii="Times New Roman" w:hAnsi="Times New Roman"/>
                <w:color w:val="auto"/>
              </w:rPr>
            </w:pPr>
            <w:r>
              <w:rPr>
                <w:rFonts w:ascii="Times New Roman" w:hAnsi="Times New Roman"/>
                <w:color w:val="auto"/>
              </w:rPr>
              <w:t>124.28</w:t>
            </w:r>
          </w:p>
        </w:tc>
        <w:tc>
          <w:tcPr>
            <w:tcW w:w="907" w:type="dxa"/>
            <w:vAlign w:val="center"/>
          </w:tcPr>
          <w:p>
            <w:pPr>
              <w:pStyle w:val="12"/>
              <w:rPr>
                <w:rFonts w:ascii="Times New Roman" w:hAnsi="Times New Roman"/>
                <w:color w:val="auto"/>
              </w:rPr>
            </w:pPr>
            <w:r>
              <w:rPr>
                <w:rFonts w:ascii="Times New Roman" w:hAnsi="Times New Roman"/>
                <w:color w:val="auto"/>
              </w:rPr>
              <w:t>132.37</w:t>
            </w:r>
          </w:p>
        </w:tc>
        <w:tc>
          <w:tcPr>
            <w:tcW w:w="907" w:type="dxa"/>
            <w:vAlign w:val="center"/>
          </w:tcPr>
          <w:p>
            <w:pPr>
              <w:pStyle w:val="12"/>
              <w:rPr>
                <w:rFonts w:ascii="Times New Roman" w:hAnsi="Times New Roman"/>
                <w:color w:val="auto"/>
              </w:rPr>
            </w:pPr>
            <w:r>
              <w:rPr>
                <w:rFonts w:ascii="Times New Roman" w:hAnsi="Times New Roman"/>
                <w:color w:val="auto"/>
              </w:rPr>
              <w:t>140.36</w:t>
            </w:r>
          </w:p>
        </w:tc>
        <w:tc>
          <w:tcPr>
            <w:tcW w:w="907" w:type="dxa"/>
            <w:vAlign w:val="center"/>
          </w:tcPr>
          <w:p>
            <w:pPr>
              <w:pStyle w:val="12"/>
              <w:rPr>
                <w:rFonts w:ascii="Times New Roman" w:hAnsi="Times New Roman"/>
                <w:color w:val="auto"/>
              </w:rPr>
            </w:pPr>
            <w:r>
              <w:rPr>
                <w:rFonts w:ascii="Times New Roman" w:hAnsi="Times New Roman"/>
                <w:color w:val="auto"/>
              </w:rPr>
              <w:t>143.82</w:t>
            </w:r>
          </w:p>
        </w:tc>
        <w:tc>
          <w:tcPr>
            <w:tcW w:w="907" w:type="dxa"/>
            <w:vAlign w:val="center"/>
          </w:tcPr>
          <w:p>
            <w:pPr>
              <w:pStyle w:val="12"/>
              <w:rPr>
                <w:rFonts w:ascii="Times New Roman" w:hAnsi="Times New Roman"/>
                <w:color w:val="auto"/>
              </w:rPr>
            </w:pPr>
            <w:r>
              <w:rPr>
                <w:rFonts w:ascii="Times New Roman" w:hAnsi="Times New Roman"/>
                <w:color w:val="auto"/>
              </w:rPr>
              <w:t>150.93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111" w:type="dxa"/>
            <w:vAlign w:val="center"/>
          </w:tcPr>
          <w:p>
            <w:pPr>
              <w:pStyle w:val="12"/>
              <w:rPr>
                <w:rFonts w:ascii="Times New Roman" w:hAnsi="Times New Roman"/>
                <w:color w:val="auto"/>
              </w:rPr>
            </w:pPr>
            <w:r>
              <w:rPr>
                <w:rFonts w:ascii="Times New Roman" w:hAnsi="Times New Roman"/>
                <w:color w:val="auto"/>
              </w:rPr>
              <w:t>比上年增长（%）</w:t>
            </w:r>
          </w:p>
        </w:tc>
        <w:tc>
          <w:tcPr>
            <w:tcW w:w="907" w:type="dxa"/>
            <w:vAlign w:val="center"/>
          </w:tcPr>
          <w:p>
            <w:pPr>
              <w:pStyle w:val="12"/>
              <w:rPr>
                <w:rFonts w:ascii="Times New Roman" w:hAnsi="Times New Roman"/>
                <w:color w:val="auto"/>
              </w:rPr>
            </w:pPr>
            <w:r>
              <w:rPr>
                <w:rFonts w:hint="eastAsia" w:ascii="Times New Roman" w:hAnsi="Times New Roman"/>
                <w:color w:val="auto"/>
              </w:rPr>
              <w:t>-</w:t>
            </w:r>
          </w:p>
        </w:tc>
        <w:tc>
          <w:tcPr>
            <w:tcW w:w="907" w:type="dxa"/>
            <w:vAlign w:val="center"/>
          </w:tcPr>
          <w:p>
            <w:pPr>
              <w:pStyle w:val="12"/>
              <w:rPr>
                <w:rFonts w:ascii="Times New Roman" w:hAnsi="Times New Roman"/>
                <w:color w:val="auto"/>
              </w:rPr>
            </w:pPr>
            <w:r>
              <w:rPr>
                <w:rFonts w:ascii="Times New Roman" w:hAnsi="Times New Roman"/>
                <w:color w:val="auto"/>
              </w:rPr>
              <w:t>14.04</w:t>
            </w:r>
          </w:p>
        </w:tc>
        <w:tc>
          <w:tcPr>
            <w:tcW w:w="907" w:type="dxa"/>
            <w:vAlign w:val="center"/>
          </w:tcPr>
          <w:p>
            <w:pPr>
              <w:pStyle w:val="12"/>
              <w:rPr>
                <w:rFonts w:ascii="Times New Roman" w:hAnsi="Times New Roman"/>
                <w:color w:val="auto"/>
              </w:rPr>
            </w:pPr>
            <w:r>
              <w:rPr>
                <w:rFonts w:ascii="Times New Roman" w:hAnsi="Times New Roman"/>
                <w:color w:val="auto"/>
              </w:rPr>
              <w:t>6.51</w:t>
            </w:r>
          </w:p>
        </w:tc>
        <w:tc>
          <w:tcPr>
            <w:tcW w:w="907" w:type="dxa"/>
            <w:vAlign w:val="center"/>
          </w:tcPr>
          <w:p>
            <w:pPr>
              <w:pStyle w:val="12"/>
              <w:rPr>
                <w:rFonts w:ascii="Times New Roman" w:hAnsi="Times New Roman"/>
                <w:color w:val="auto"/>
              </w:rPr>
            </w:pPr>
            <w:r>
              <w:rPr>
                <w:rFonts w:ascii="Times New Roman" w:hAnsi="Times New Roman"/>
                <w:color w:val="auto"/>
              </w:rPr>
              <w:t>6.04</w:t>
            </w:r>
          </w:p>
        </w:tc>
        <w:tc>
          <w:tcPr>
            <w:tcW w:w="907" w:type="dxa"/>
            <w:vAlign w:val="center"/>
          </w:tcPr>
          <w:p>
            <w:pPr>
              <w:pStyle w:val="12"/>
              <w:rPr>
                <w:rFonts w:ascii="Times New Roman" w:hAnsi="Times New Roman"/>
                <w:color w:val="auto"/>
              </w:rPr>
            </w:pPr>
            <w:r>
              <w:rPr>
                <w:rFonts w:ascii="Times New Roman" w:hAnsi="Times New Roman"/>
                <w:color w:val="auto"/>
              </w:rPr>
              <w:t>2.46</w:t>
            </w:r>
          </w:p>
        </w:tc>
        <w:tc>
          <w:tcPr>
            <w:tcW w:w="907" w:type="dxa"/>
            <w:vAlign w:val="center"/>
          </w:tcPr>
          <w:p>
            <w:pPr>
              <w:pStyle w:val="12"/>
              <w:rPr>
                <w:rFonts w:ascii="Times New Roman" w:hAnsi="Times New Roman"/>
                <w:color w:val="auto"/>
              </w:rPr>
            </w:pPr>
            <w:r>
              <w:rPr>
                <w:rFonts w:ascii="Times New Roman" w:hAnsi="Times New Roman"/>
                <w:color w:val="auto"/>
              </w:rPr>
              <w:t>4.94</w:t>
            </w:r>
          </w:p>
        </w:tc>
      </w:tr>
    </w:tbl>
    <w:p>
      <w:pPr>
        <w:pStyle w:val="10"/>
        <w:spacing w:before="0" w:beforeLines="0"/>
        <w:jc w:val="left"/>
        <w:rPr>
          <w:rFonts w:ascii="Times New Roman" w:hAnsi="Times New Roman"/>
          <w:color w:val="auto"/>
          <w:sz w:val="18"/>
          <w:szCs w:val="18"/>
        </w:rPr>
      </w:pPr>
      <w:r>
        <w:rPr>
          <w:rFonts w:hint="eastAsia" w:ascii="Times New Roman" w:hAnsi="Times New Roman"/>
          <w:color w:val="auto"/>
          <w:sz w:val="18"/>
          <w:szCs w:val="18"/>
        </w:rPr>
        <w:t>数据来源：《三亚统计年鉴2019》</w:t>
      </w:r>
    </w:p>
    <w:p>
      <w:pPr>
        <w:pStyle w:val="10"/>
        <w:spacing w:before="312"/>
        <w:rPr>
          <w:color w:val="auto"/>
        </w:rPr>
      </w:pPr>
      <w:r>
        <w:rPr>
          <w:color w:val="auto"/>
        </w:rPr>
        <w:t>表2-</w:t>
      </w:r>
      <w:r>
        <w:rPr>
          <w:rFonts w:hint="eastAsia"/>
          <w:color w:val="auto"/>
        </w:rPr>
        <w:t>3 三亚市历年能源使用情况</w:t>
      </w:r>
    </w:p>
    <w:tbl>
      <w:tblPr>
        <w:tblStyle w:val="39"/>
        <w:tblW w:w="8300" w:type="dxa"/>
        <w:jc w:val="center"/>
        <w:tblInd w:w="0" w:type="dxa"/>
        <w:tblLayout w:type="fixed"/>
        <w:tblCellMar>
          <w:top w:w="0" w:type="dxa"/>
          <w:left w:w="0" w:type="dxa"/>
          <w:bottom w:w="0" w:type="dxa"/>
          <w:right w:w="0" w:type="dxa"/>
        </w:tblCellMar>
      </w:tblPr>
      <w:tblGrid>
        <w:gridCol w:w="1551"/>
        <w:gridCol w:w="1460"/>
        <w:gridCol w:w="1504"/>
        <w:gridCol w:w="1199"/>
        <w:gridCol w:w="1359"/>
        <w:gridCol w:w="1227"/>
      </w:tblGrid>
      <w:tr>
        <w:tblPrEx>
          <w:tblLayout w:type="fixed"/>
          <w:tblCellMar>
            <w:top w:w="0" w:type="dxa"/>
            <w:left w:w="0" w:type="dxa"/>
            <w:bottom w:w="0" w:type="dxa"/>
            <w:right w:w="0" w:type="dxa"/>
          </w:tblCellMar>
        </w:tblPrEx>
        <w:trPr>
          <w:trHeight w:val="1311" w:hRule="atLeast"/>
          <w:jc w:val="center"/>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b/>
                <w:bCs/>
                <w:color w:val="auto"/>
              </w:rPr>
            </w:pPr>
            <w:r>
              <w:rPr>
                <w:rFonts w:ascii="Times New Roman" w:hAnsi="Times New Roman"/>
                <w:b/>
                <w:bCs/>
                <w:color w:val="auto"/>
              </w:rPr>
              <w:t>年度</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b/>
                <w:bCs/>
                <w:color w:val="auto"/>
              </w:rPr>
            </w:pPr>
            <w:r>
              <w:rPr>
                <w:rFonts w:ascii="Times New Roman" w:hAnsi="Times New Roman"/>
                <w:b/>
                <w:bCs/>
                <w:color w:val="auto"/>
              </w:rPr>
              <w:t>能源消费比上年增长（%）</w:t>
            </w:r>
          </w:p>
        </w:tc>
        <w:tc>
          <w:tcPr>
            <w:tcW w:w="15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b/>
                <w:bCs/>
                <w:color w:val="auto"/>
              </w:rPr>
            </w:pPr>
            <w:r>
              <w:rPr>
                <w:rFonts w:ascii="Times New Roman" w:hAnsi="Times New Roman"/>
                <w:b/>
                <w:bCs/>
                <w:color w:val="auto"/>
              </w:rPr>
              <w:t>生产总值比上年增长</w:t>
            </w:r>
          </w:p>
        </w:tc>
        <w:tc>
          <w:tcPr>
            <w:tcW w:w="119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b/>
                <w:bCs/>
                <w:color w:val="auto"/>
              </w:rPr>
            </w:pPr>
            <w:r>
              <w:rPr>
                <w:rFonts w:ascii="Times New Roman" w:hAnsi="Times New Roman"/>
                <w:b/>
                <w:bCs/>
                <w:color w:val="auto"/>
              </w:rPr>
              <w:t>能源消费弹性系数</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b/>
                <w:bCs/>
                <w:color w:val="auto"/>
              </w:rPr>
            </w:pPr>
            <w:r>
              <w:rPr>
                <w:rFonts w:ascii="Times New Roman" w:hAnsi="Times New Roman"/>
                <w:b/>
                <w:bCs/>
                <w:color w:val="auto"/>
              </w:rPr>
              <w:t>单位GDP能耗（吨标准煤/</w:t>
            </w:r>
          </w:p>
          <w:p>
            <w:pPr>
              <w:pStyle w:val="12"/>
              <w:rPr>
                <w:rFonts w:ascii="Times New Roman" w:hAnsi="Times New Roman"/>
                <w:b/>
                <w:bCs/>
                <w:color w:val="auto"/>
              </w:rPr>
            </w:pPr>
            <w:r>
              <w:rPr>
                <w:rFonts w:ascii="Times New Roman" w:hAnsi="Times New Roman"/>
                <w:b/>
                <w:bCs/>
                <w:color w:val="auto"/>
              </w:rPr>
              <w:t>万元）</w:t>
            </w:r>
          </w:p>
        </w:tc>
        <w:tc>
          <w:tcPr>
            <w:tcW w:w="12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b/>
                <w:bCs/>
                <w:color w:val="auto"/>
              </w:rPr>
            </w:pPr>
            <w:r>
              <w:rPr>
                <w:rFonts w:ascii="Times New Roman" w:hAnsi="Times New Roman"/>
                <w:b/>
                <w:bCs/>
                <w:color w:val="auto"/>
              </w:rPr>
              <w:t>单位GDP电耗（千瓦时/万元）</w:t>
            </w:r>
          </w:p>
        </w:tc>
      </w:tr>
      <w:tr>
        <w:tblPrEx>
          <w:tblLayout w:type="fixed"/>
          <w:tblCellMar>
            <w:top w:w="0" w:type="dxa"/>
            <w:left w:w="0" w:type="dxa"/>
            <w:bottom w:w="0" w:type="dxa"/>
            <w:right w:w="0" w:type="dxa"/>
          </w:tblCellMar>
        </w:tblPrEx>
        <w:trPr>
          <w:trHeight w:val="454" w:hRule="exact"/>
          <w:jc w:val="center"/>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2011年</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13.79</w:t>
            </w:r>
          </w:p>
        </w:tc>
        <w:tc>
          <w:tcPr>
            <w:tcW w:w="15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14.2</w:t>
            </w:r>
          </w:p>
        </w:tc>
        <w:tc>
          <w:tcPr>
            <w:tcW w:w="119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0.99</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0.471</w:t>
            </w:r>
          </w:p>
        </w:tc>
        <w:tc>
          <w:tcPr>
            <w:tcW w:w="12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712.92</w:t>
            </w:r>
          </w:p>
        </w:tc>
      </w:tr>
      <w:tr>
        <w:tblPrEx>
          <w:tblLayout w:type="fixed"/>
          <w:tblCellMar>
            <w:top w:w="0" w:type="dxa"/>
            <w:left w:w="0" w:type="dxa"/>
            <w:bottom w:w="0" w:type="dxa"/>
            <w:right w:w="0" w:type="dxa"/>
          </w:tblCellMar>
        </w:tblPrEx>
        <w:trPr>
          <w:trHeight w:val="454" w:hRule="exact"/>
          <w:jc w:val="center"/>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2012年</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6.71</w:t>
            </w:r>
          </w:p>
        </w:tc>
        <w:tc>
          <w:tcPr>
            <w:tcW w:w="15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9.3</w:t>
            </w:r>
          </w:p>
        </w:tc>
        <w:tc>
          <w:tcPr>
            <w:tcW w:w="119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0.7</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0.4591</w:t>
            </w:r>
          </w:p>
        </w:tc>
        <w:tc>
          <w:tcPr>
            <w:tcW w:w="12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754.36</w:t>
            </w:r>
          </w:p>
        </w:tc>
      </w:tr>
      <w:tr>
        <w:tblPrEx>
          <w:tblLayout w:type="fixed"/>
          <w:tblCellMar>
            <w:top w:w="0" w:type="dxa"/>
            <w:left w:w="0" w:type="dxa"/>
            <w:bottom w:w="0" w:type="dxa"/>
            <w:right w:w="0" w:type="dxa"/>
          </w:tblCellMar>
        </w:tblPrEx>
        <w:trPr>
          <w:trHeight w:val="454" w:hRule="exact"/>
          <w:jc w:val="center"/>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2013年</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6.07</w:t>
            </w:r>
          </w:p>
        </w:tc>
        <w:tc>
          <w:tcPr>
            <w:tcW w:w="15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10.1</w:t>
            </w:r>
          </w:p>
        </w:tc>
        <w:tc>
          <w:tcPr>
            <w:tcW w:w="119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0.6</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0.4424</w:t>
            </w:r>
          </w:p>
        </w:tc>
        <w:tc>
          <w:tcPr>
            <w:tcW w:w="12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752</w:t>
            </w:r>
          </w:p>
        </w:tc>
      </w:tr>
      <w:tr>
        <w:tblPrEx>
          <w:tblLayout w:type="fixed"/>
          <w:tblCellMar>
            <w:top w:w="0" w:type="dxa"/>
            <w:left w:w="0" w:type="dxa"/>
            <w:bottom w:w="0" w:type="dxa"/>
            <w:right w:w="0" w:type="dxa"/>
          </w:tblCellMar>
        </w:tblPrEx>
        <w:trPr>
          <w:trHeight w:val="454" w:hRule="exact"/>
          <w:jc w:val="center"/>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2014年</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2.46</w:t>
            </w:r>
          </w:p>
        </w:tc>
        <w:tc>
          <w:tcPr>
            <w:tcW w:w="15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5.5</w:t>
            </w:r>
          </w:p>
        </w:tc>
        <w:tc>
          <w:tcPr>
            <w:tcW w:w="119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0.45</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0.4298</w:t>
            </w:r>
          </w:p>
        </w:tc>
        <w:tc>
          <w:tcPr>
            <w:tcW w:w="12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789.55</w:t>
            </w:r>
          </w:p>
        </w:tc>
      </w:tr>
      <w:tr>
        <w:tblPrEx>
          <w:tblLayout w:type="fixed"/>
          <w:tblCellMar>
            <w:top w:w="0" w:type="dxa"/>
            <w:left w:w="0" w:type="dxa"/>
            <w:bottom w:w="0" w:type="dxa"/>
            <w:right w:w="0" w:type="dxa"/>
          </w:tblCellMar>
        </w:tblPrEx>
        <w:trPr>
          <w:trHeight w:val="454" w:hRule="exact"/>
          <w:jc w:val="center"/>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2015年</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4.94</w:t>
            </w:r>
          </w:p>
        </w:tc>
        <w:tc>
          <w:tcPr>
            <w:tcW w:w="15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8.1</w:t>
            </w:r>
          </w:p>
        </w:tc>
        <w:tc>
          <w:tcPr>
            <w:tcW w:w="119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0.61</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0.4172</w:t>
            </w:r>
          </w:p>
        </w:tc>
        <w:tc>
          <w:tcPr>
            <w:tcW w:w="12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788.63</w:t>
            </w:r>
          </w:p>
        </w:tc>
      </w:tr>
      <w:tr>
        <w:tblPrEx>
          <w:tblLayout w:type="fixed"/>
          <w:tblCellMar>
            <w:top w:w="0" w:type="dxa"/>
            <w:left w:w="0" w:type="dxa"/>
            <w:bottom w:w="0" w:type="dxa"/>
            <w:right w:w="0" w:type="dxa"/>
          </w:tblCellMar>
        </w:tblPrEx>
        <w:trPr>
          <w:trHeight w:val="454" w:hRule="exact"/>
          <w:jc w:val="center"/>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2016年</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4.22</w:t>
            </w:r>
          </w:p>
        </w:tc>
        <w:tc>
          <w:tcPr>
            <w:tcW w:w="15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7.8</w:t>
            </w:r>
          </w:p>
        </w:tc>
        <w:tc>
          <w:tcPr>
            <w:tcW w:w="119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0.54</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hint="eastAsia" w:ascii="Times New Roman" w:hAnsi="Times New Roman"/>
                <w:color w:val="auto"/>
              </w:rPr>
              <w:t>-</w:t>
            </w:r>
          </w:p>
        </w:tc>
        <w:tc>
          <w:tcPr>
            <w:tcW w:w="12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hint="eastAsia" w:ascii="Times New Roman" w:hAnsi="Times New Roman"/>
                <w:color w:val="auto"/>
              </w:rPr>
              <w:t>-</w:t>
            </w:r>
          </w:p>
        </w:tc>
      </w:tr>
      <w:tr>
        <w:tblPrEx>
          <w:tblLayout w:type="fixed"/>
          <w:tblCellMar>
            <w:top w:w="0" w:type="dxa"/>
            <w:left w:w="0" w:type="dxa"/>
            <w:bottom w:w="0" w:type="dxa"/>
            <w:right w:w="0" w:type="dxa"/>
          </w:tblCellMar>
        </w:tblPrEx>
        <w:trPr>
          <w:trHeight w:val="454" w:hRule="exact"/>
          <w:jc w:val="center"/>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2017年</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7.5</w:t>
            </w:r>
          </w:p>
        </w:tc>
        <w:tc>
          <w:tcPr>
            <w:tcW w:w="15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7.6</w:t>
            </w:r>
          </w:p>
        </w:tc>
        <w:tc>
          <w:tcPr>
            <w:tcW w:w="119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0.99</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hint="eastAsia" w:ascii="Times New Roman" w:hAnsi="Times New Roman"/>
                <w:color w:val="auto"/>
              </w:rPr>
              <w:t>-</w:t>
            </w:r>
          </w:p>
        </w:tc>
        <w:tc>
          <w:tcPr>
            <w:tcW w:w="12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hint="eastAsia" w:ascii="Times New Roman" w:hAnsi="Times New Roman"/>
                <w:color w:val="auto"/>
              </w:rPr>
              <w:t>-</w:t>
            </w:r>
          </w:p>
        </w:tc>
      </w:tr>
      <w:tr>
        <w:tblPrEx>
          <w:tblLayout w:type="fixed"/>
          <w:tblCellMar>
            <w:top w:w="0" w:type="dxa"/>
            <w:left w:w="0" w:type="dxa"/>
            <w:bottom w:w="0" w:type="dxa"/>
            <w:right w:w="0" w:type="dxa"/>
          </w:tblCellMar>
        </w:tblPrEx>
        <w:trPr>
          <w:trHeight w:val="454" w:hRule="exact"/>
          <w:jc w:val="center"/>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2018年</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5.87</w:t>
            </w:r>
          </w:p>
        </w:tc>
        <w:tc>
          <w:tcPr>
            <w:tcW w:w="15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7.2</w:t>
            </w:r>
          </w:p>
        </w:tc>
        <w:tc>
          <w:tcPr>
            <w:tcW w:w="119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0.82</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hint="eastAsia" w:ascii="Times New Roman" w:hAnsi="Times New Roman"/>
                <w:color w:val="auto"/>
              </w:rPr>
              <w:t>-</w:t>
            </w:r>
          </w:p>
        </w:tc>
        <w:tc>
          <w:tcPr>
            <w:tcW w:w="12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hint="eastAsia" w:ascii="Times New Roman" w:hAnsi="Times New Roman"/>
                <w:color w:val="auto"/>
              </w:rPr>
              <w:t>-</w:t>
            </w:r>
          </w:p>
        </w:tc>
      </w:tr>
      <w:tr>
        <w:tblPrEx>
          <w:tblLayout w:type="fixed"/>
          <w:tblCellMar>
            <w:top w:w="0" w:type="dxa"/>
            <w:left w:w="0" w:type="dxa"/>
            <w:bottom w:w="0" w:type="dxa"/>
            <w:right w:w="0" w:type="dxa"/>
          </w:tblCellMar>
        </w:tblPrEx>
        <w:trPr>
          <w:trHeight w:val="454" w:hRule="exact"/>
          <w:jc w:val="center"/>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2019年</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hint="eastAsia" w:ascii="Times New Roman" w:hAnsi="Times New Roman"/>
                <w:color w:val="auto"/>
              </w:rPr>
              <w:t>-</w:t>
            </w:r>
          </w:p>
        </w:tc>
        <w:tc>
          <w:tcPr>
            <w:tcW w:w="15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6.4</w:t>
            </w:r>
          </w:p>
        </w:tc>
        <w:tc>
          <w:tcPr>
            <w:tcW w:w="119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hint="eastAsia" w:ascii="Times New Roman" w:hAnsi="Times New Roman"/>
                <w:color w:val="auto"/>
              </w:rPr>
              <w:t>-</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hint="eastAsia" w:ascii="Times New Roman" w:hAnsi="Times New Roman"/>
                <w:color w:val="auto"/>
              </w:rPr>
              <w:t>-</w:t>
            </w:r>
          </w:p>
        </w:tc>
        <w:tc>
          <w:tcPr>
            <w:tcW w:w="12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hint="eastAsia" w:ascii="Times New Roman" w:hAnsi="Times New Roman"/>
                <w:color w:val="auto"/>
              </w:rPr>
              <w:t>-</w:t>
            </w:r>
          </w:p>
        </w:tc>
      </w:tr>
    </w:tbl>
    <w:p>
      <w:pPr>
        <w:pStyle w:val="10"/>
        <w:spacing w:before="0" w:beforeLines="0" w:line="240" w:lineRule="auto"/>
        <w:jc w:val="left"/>
        <w:rPr>
          <w:rFonts w:ascii="Times New Roman" w:hAnsi="Times New Roman"/>
          <w:color w:val="auto"/>
          <w:sz w:val="18"/>
          <w:szCs w:val="18"/>
        </w:rPr>
      </w:pPr>
      <w:r>
        <w:rPr>
          <w:rFonts w:hint="eastAsia" w:ascii="Times New Roman" w:hAnsi="Times New Roman"/>
          <w:color w:val="auto"/>
          <w:sz w:val="18"/>
          <w:szCs w:val="18"/>
        </w:rPr>
        <w:t>数据来源：《三亚统计年鉴-2019》。截止本报告完稿时，因相关部门尚未发布《三亚统计年鉴-</w:t>
      </w:r>
      <w:r>
        <w:rPr>
          <w:rFonts w:ascii="Times New Roman" w:hAnsi="Times New Roman"/>
          <w:color w:val="auto"/>
          <w:sz w:val="18"/>
          <w:szCs w:val="18"/>
        </w:rPr>
        <w:t>2020</w:t>
      </w:r>
      <w:r>
        <w:rPr>
          <w:rFonts w:hint="eastAsia" w:ascii="Times New Roman" w:hAnsi="Times New Roman"/>
          <w:color w:val="auto"/>
          <w:sz w:val="18"/>
          <w:szCs w:val="18"/>
        </w:rPr>
        <w:t>》，无法获取2</w:t>
      </w:r>
      <w:r>
        <w:rPr>
          <w:rFonts w:ascii="Times New Roman" w:hAnsi="Times New Roman"/>
          <w:color w:val="auto"/>
          <w:sz w:val="18"/>
          <w:szCs w:val="18"/>
        </w:rPr>
        <w:t>020</w:t>
      </w:r>
      <w:r>
        <w:rPr>
          <w:rFonts w:hint="eastAsia" w:ascii="Times New Roman" w:hAnsi="Times New Roman"/>
          <w:color w:val="auto"/>
          <w:sz w:val="18"/>
          <w:szCs w:val="18"/>
        </w:rPr>
        <w:t>年相关数据。</w:t>
      </w:r>
    </w:p>
    <w:p>
      <w:pPr>
        <w:pStyle w:val="3"/>
        <w:spacing w:before="156" w:after="156"/>
        <w:rPr>
          <w:color w:val="auto"/>
        </w:rPr>
      </w:pPr>
      <w:bookmarkStart w:id="150" w:name="_Toc693"/>
      <w:bookmarkStart w:id="151" w:name="_Toc21001"/>
      <w:r>
        <w:rPr>
          <w:rFonts w:hint="eastAsia"/>
          <w:color w:val="auto"/>
        </w:rPr>
        <w:t>2.4</w:t>
      </w:r>
      <w:r>
        <w:rPr>
          <w:color w:val="auto"/>
        </w:rPr>
        <w:t>建筑能耗</w:t>
      </w:r>
      <w:r>
        <w:rPr>
          <w:rFonts w:hint="eastAsia"/>
          <w:color w:val="auto"/>
        </w:rPr>
        <w:t>现状</w:t>
      </w:r>
      <w:bookmarkEnd w:id="150"/>
      <w:bookmarkEnd w:id="151"/>
    </w:p>
    <w:p>
      <w:pPr>
        <w:rPr>
          <w:color w:val="auto"/>
        </w:rPr>
      </w:pPr>
      <w:r>
        <w:rPr>
          <w:rFonts w:hint="eastAsia"/>
          <w:color w:val="auto"/>
        </w:rPr>
        <w:t>“十二五”期间，</w:t>
      </w:r>
      <w:r>
        <w:rPr>
          <w:color w:val="auto"/>
        </w:rPr>
        <w:t>三亚市建筑能耗以</w:t>
      </w:r>
      <w:r>
        <w:rPr>
          <w:rFonts w:hint="eastAsia"/>
          <w:color w:val="auto"/>
        </w:rPr>
        <w:t>办公</w:t>
      </w:r>
      <w:r>
        <w:rPr>
          <w:color w:val="auto"/>
        </w:rPr>
        <w:t>建筑、</w:t>
      </w:r>
      <w:r>
        <w:rPr>
          <w:rFonts w:hint="eastAsia"/>
          <w:color w:val="auto"/>
        </w:rPr>
        <w:t>旅馆</w:t>
      </w:r>
      <w:r>
        <w:rPr>
          <w:color w:val="auto"/>
        </w:rPr>
        <w:t>建筑、居住建筑为主。依据能源审计结果，</w:t>
      </w:r>
      <w:r>
        <w:rPr>
          <w:rFonts w:hint="eastAsia"/>
          <w:color w:val="auto"/>
        </w:rPr>
        <w:t>三亚市</w:t>
      </w:r>
      <w:r>
        <w:rPr>
          <w:color w:val="auto"/>
        </w:rPr>
        <w:t>政府办公建筑单位面积电耗为48.84kWh/m</w:t>
      </w:r>
      <w:r>
        <w:rPr>
          <w:color w:val="auto"/>
          <w:vertAlign w:val="superscript"/>
        </w:rPr>
        <w:t>2</w:t>
      </w:r>
      <w:r>
        <w:rPr>
          <w:color w:val="auto"/>
        </w:rPr>
        <w:t>，非政府办公建筑平均单位面积电耗为78.46kWh/m</w:t>
      </w:r>
      <w:r>
        <w:rPr>
          <w:color w:val="auto"/>
          <w:vertAlign w:val="superscript"/>
        </w:rPr>
        <w:t>2</w:t>
      </w:r>
      <w:r>
        <w:rPr>
          <w:color w:val="auto"/>
        </w:rPr>
        <w:t>，商场建筑平均单位面积电耗为133.58kWh/m</w:t>
      </w:r>
      <w:r>
        <w:rPr>
          <w:color w:val="auto"/>
          <w:vertAlign w:val="superscript"/>
        </w:rPr>
        <w:t>2</w:t>
      </w:r>
      <w:r>
        <w:rPr>
          <w:color w:val="auto"/>
        </w:rPr>
        <w:t>，校园建筑平均单位面积电耗为17.11kWh/m</w:t>
      </w:r>
      <w:r>
        <w:rPr>
          <w:color w:val="auto"/>
          <w:vertAlign w:val="superscript"/>
        </w:rPr>
        <w:t>2</w:t>
      </w:r>
      <w:r>
        <w:rPr>
          <w:color w:val="auto"/>
        </w:rPr>
        <w:t>，医疗卫生建筑平均单位面积电耗为180.7kWh/m</w:t>
      </w:r>
      <w:r>
        <w:rPr>
          <w:color w:val="auto"/>
          <w:vertAlign w:val="superscript"/>
        </w:rPr>
        <w:t>2</w:t>
      </w:r>
      <w:r>
        <w:rPr>
          <w:color w:val="auto"/>
        </w:rPr>
        <w:t>，</w:t>
      </w:r>
      <w:r>
        <w:rPr>
          <w:rFonts w:hint="eastAsia"/>
          <w:color w:val="auto"/>
        </w:rPr>
        <w:t>旅馆</w:t>
      </w:r>
      <w:r>
        <w:rPr>
          <w:color w:val="auto"/>
        </w:rPr>
        <w:t>建筑平均单位面积电耗为147.3kWh/m</w:t>
      </w:r>
      <w:r>
        <w:rPr>
          <w:color w:val="auto"/>
          <w:vertAlign w:val="superscript"/>
        </w:rPr>
        <w:t>2</w:t>
      </w:r>
      <w:r>
        <w:rPr>
          <w:color w:val="auto"/>
        </w:rPr>
        <w:t>，居住建筑单位面积电耗为54.78kWh/m</w:t>
      </w:r>
      <w:r>
        <w:rPr>
          <w:color w:val="auto"/>
          <w:vertAlign w:val="superscript"/>
        </w:rPr>
        <w:t>2</w:t>
      </w:r>
      <w:r>
        <w:rPr>
          <w:color w:val="auto"/>
        </w:rPr>
        <w:t>。</w:t>
      </w:r>
    </w:p>
    <w:p>
      <w:pPr>
        <w:rPr>
          <w:color w:val="auto"/>
        </w:rPr>
      </w:pPr>
      <w:r>
        <w:rPr>
          <w:color w:val="auto"/>
        </w:rPr>
        <w:t>各类建筑能源消耗中，政府办公建筑电力消耗量占其综合能耗的86%，非政府办公建筑电力消耗量占其综合能耗的88%，校园建筑电力消耗量占其综合能耗的66％，宾馆饭店建筑电力消耗量占其综合能耗的64％，医疗卫生建筑电力消耗量占其综合能耗的88％，居住建筑电力消耗量占其综合能耗的63％。</w:t>
      </w:r>
      <w:r>
        <w:rPr>
          <w:rStyle w:val="38"/>
          <w:color w:val="auto"/>
        </w:rPr>
        <w:footnoteReference w:id="1"/>
      </w:r>
    </w:p>
    <w:p>
      <w:pPr>
        <w:rPr>
          <w:color w:val="auto"/>
        </w:rPr>
      </w:pPr>
      <w:r>
        <w:rPr>
          <w:color w:val="auto"/>
        </w:rPr>
        <w:t>根据2014年对于大型公共建筑和政府投资建筑项目的能源审计结果，其能耗构成如图</w:t>
      </w:r>
      <w:r>
        <w:rPr>
          <w:rFonts w:hint="eastAsia"/>
          <w:color w:val="auto"/>
        </w:rPr>
        <w:t>2-3</w:t>
      </w:r>
      <w:r>
        <w:rPr>
          <w:color w:val="auto"/>
        </w:rPr>
        <w:t>，通过分析得出，不同类型的建筑能耗构成不同，但总体上空调能耗比例较大，最低的校园建筑为19.91%，最高的</w:t>
      </w:r>
      <w:r>
        <w:rPr>
          <w:rFonts w:hint="eastAsia"/>
          <w:color w:val="auto"/>
        </w:rPr>
        <w:t>旅馆</w:t>
      </w:r>
      <w:r>
        <w:rPr>
          <w:color w:val="auto"/>
        </w:rPr>
        <w:t>建筑为45.1%，三亚市空调能耗占建筑总能耗比例较大。</w:t>
      </w:r>
    </w:p>
    <w:p>
      <w:pPr>
        <w:pStyle w:val="11"/>
        <w:rPr>
          <w:color w:val="auto"/>
        </w:rPr>
      </w:pPr>
      <w:r>
        <w:rPr>
          <w:color w:val="auto"/>
        </w:rPr>
        <w:drawing>
          <wp:inline distT="0" distB="0" distL="0" distR="0">
            <wp:extent cx="5184140" cy="3093085"/>
            <wp:effectExtent l="0" t="0" r="6985"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184140" cy="3093085"/>
                    </a:xfrm>
                    <a:prstGeom prst="rect">
                      <a:avLst/>
                    </a:prstGeom>
                    <a:noFill/>
                    <a:ln>
                      <a:noFill/>
                    </a:ln>
                  </pic:spPr>
                </pic:pic>
              </a:graphicData>
            </a:graphic>
          </wp:inline>
        </w:drawing>
      </w:r>
    </w:p>
    <w:p>
      <w:pPr>
        <w:pStyle w:val="10"/>
        <w:spacing w:before="0" w:beforeLines="0"/>
        <w:rPr>
          <w:color w:val="auto"/>
        </w:rPr>
      </w:pPr>
      <w:r>
        <w:rPr>
          <w:color w:val="auto"/>
        </w:rPr>
        <w:t>图</w:t>
      </w:r>
      <w:r>
        <w:rPr>
          <w:rFonts w:hint="eastAsia"/>
          <w:color w:val="auto"/>
        </w:rPr>
        <w:t xml:space="preserve">2-3 </w:t>
      </w:r>
      <w:r>
        <w:rPr>
          <w:color w:val="auto"/>
        </w:rPr>
        <w:t>三亚市各类型建筑单位面积能耗（单位：kWh/m</w:t>
      </w:r>
      <w:r>
        <w:rPr>
          <w:color w:val="auto"/>
          <w:vertAlign w:val="superscript"/>
        </w:rPr>
        <w:t>2</w:t>
      </w:r>
      <w:r>
        <w:rPr>
          <w:rFonts w:hint="eastAsia"/>
          <w:color w:val="auto"/>
        </w:rPr>
        <w:t>）</w:t>
      </w:r>
    </w:p>
    <w:p>
      <w:pPr>
        <w:textAlignment w:val="baseline"/>
        <w:rPr>
          <w:rFonts w:asciiTheme="minorEastAsia" w:hAnsiTheme="minorEastAsia" w:eastAsiaTheme="minorEastAsia" w:cstheme="minorEastAsia"/>
          <w:color w:val="auto"/>
          <w:szCs w:val="20"/>
        </w:rPr>
      </w:pPr>
      <w:bookmarkStart w:id="152" w:name="_Toc1096"/>
      <w:bookmarkStart w:id="153" w:name="_Toc343617561"/>
      <w:bookmarkStart w:id="154" w:name="_Toc8016"/>
      <w:bookmarkStart w:id="155" w:name="_Toc343691968"/>
      <w:bookmarkStart w:id="156" w:name="_Toc342491569"/>
      <w:bookmarkStart w:id="157" w:name="_Toc11601"/>
      <w:bookmarkStart w:id="158" w:name="_Toc346717809"/>
      <w:bookmarkStart w:id="159" w:name="_Toc346465485"/>
      <w:bookmarkStart w:id="160" w:name="_Toc494555766"/>
      <w:r>
        <w:rPr>
          <w:rFonts w:hint="eastAsia" w:asciiTheme="minorEastAsia" w:hAnsiTheme="minorEastAsia" w:eastAsiaTheme="minorEastAsia" w:cstheme="minorEastAsia"/>
          <w:color w:val="auto"/>
          <w:szCs w:val="20"/>
        </w:rPr>
        <w:t>从调研情况看，普遍情况下中央空调单位面积耗电量要比分体空调单位面积耗电量大，目前旅馆建筑单位面积耗电量与办公建筑单位面积耗电量趋于相近，这说明目前旅馆建筑的节能管理相对比办公建筑节能管理有效。学校类建筑单位面积等效电耗最小，这主要是由于学校类建筑中大型耗电设备较少。</w:t>
      </w:r>
    </w:p>
    <w:p>
      <w:pP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从近几年各类建筑能耗的变化趋势上看，办公和旅馆建筑单位面积等效电耗已逐渐趋于稳定，而商场和医疗建筑能耗呈逐年递增趋势，学校建筑能耗维持在低水平状态。</w:t>
      </w:r>
    </w:p>
    <w:p>
      <w:pPr>
        <w:pStyle w:val="3"/>
        <w:spacing w:before="156" w:after="156"/>
        <w:rPr>
          <w:color w:val="auto"/>
        </w:rPr>
      </w:pPr>
      <w:bookmarkStart w:id="161" w:name="_Toc22096"/>
      <w:r>
        <w:rPr>
          <w:rFonts w:hint="eastAsia"/>
          <w:color w:val="auto"/>
        </w:rPr>
        <w:t>2.5 建筑节能工作</w:t>
      </w:r>
      <w:bookmarkEnd w:id="152"/>
      <w:r>
        <w:rPr>
          <w:rFonts w:hint="eastAsia"/>
          <w:color w:val="auto"/>
        </w:rPr>
        <w:t>现状</w:t>
      </w:r>
      <w:bookmarkEnd w:id="161"/>
    </w:p>
    <w:p>
      <w:pPr>
        <w:pStyle w:val="4"/>
        <w:rPr>
          <w:color w:val="auto"/>
        </w:rPr>
      </w:pPr>
      <w:bookmarkStart w:id="162" w:name="_Toc343691970"/>
      <w:bookmarkStart w:id="163" w:name="_Toc346465487"/>
      <w:bookmarkStart w:id="164" w:name="_Toc346717811"/>
      <w:bookmarkStart w:id="165" w:name="_Toc494555767"/>
      <w:bookmarkStart w:id="166" w:name="_Toc24871"/>
      <w:r>
        <w:rPr>
          <w:rFonts w:hint="eastAsia"/>
          <w:color w:val="auto"/>
        </w:rPr>
        <w:t>2.5.1新建建筑节能审查工作严格</w:t>
      </w:r>
      <w:bookmarkEnd w:id="162"/>
      <w:bookmarkEnd w:id="163"/>
      <w:bookmarkEnd w:id="164"/>
      <w:bookmarkEnd w:id="165"/>
      <w:bookmarkEnd w:id="166"/>
    </w:p>
    <w:p>
      <w:pPr>
        <w:rPr>
          <w:color w:val="auto"/>
        </w:rPr>
      </w:pPr>
      <w:r>
        <w:rPr>
          <w:rFonts w:hint="eastAsia" w:asciiTheme="minorEastAsia" w:hAnsiTheme="minorEastAsia" w:eastAsiaTheme="minorEastAsia" w:cstheme="minorEastAsia"/>
          <w:color w:val="auto"/>
        </w:rPr>
        <w:t>近年来，三亚市新建建筑设计阶段基本执行50%节能率的国家节能标准要求。市住建局参照省级要求，不断完善建筑节能审批流程，规范建筑节能评估与审查成果，从规划报建阶段的节能评估开始，严</w:t>
      </w:r>
      <w:r>
        <w:rPr>
          <w:rFonts w:hint="eastAsia"/>
          <w:color w:val="auto"/>
        </w:rPr>
        <w:t>格执行基本建设程序中的施工图审查、施工报建、竣工验收备案等环节的建筑节能要求，把好建筑节能关。</w:t>
      </w:r>
    </w:p>
    <w:p>
      <w:pPr>
        <w:rPr>
          <w:color w:val="auto"/>
        </w:rPr>
      </w:pPr>
      <w:r>
        <w:rPr>
          <w:rFonts w:hint="eastAsia"/>
          <w:color w:val="auto"/>
        </w:rPr>
        <w:t>“十二五”期间，共计完成274个规划报建阶段的建筑节能评估审查，建筑面积2358.34万</w:t>
      </w:r>
      <w:r>
        <w:rPr>
          <w:rFonts w:hint="eastAsia"/>
          <w:color w:val="auto"/>
          <w:spacing w:val="-1"/>
        </w:rPr>
        <w:t>平方米</w:t>
      </w:r>
      <w:r>
        <w:rPr>
          <w:rFonts w:hint="eastAsia"/>
          <w:color w:val="auto"/>
        </w:rPr>
        <w:t>。“十三五”期间</w:t>
      </w:r>
      <w:r>
        <w:rPr>
          <w:color w:val="auto"/>
        </w:rPr>
        <w:t>，在严格保障建筑节能标准执行质量和水平的基础上，重点提升新建建筑能效水平</w:t>
      </w:r>
      <w:r>
        <w:rPr>
          <w:rFonts w:hint="eastAsia"/>
          <w:color w:val="auto"/>
        </w:rPr>
        <w:t>，</w:t>
      </w:r>
      <w:r>
        <w:rPr>
          <w:color w:val="auto"/>
        </w:rPr>
        <w:t>城镇新建建筑设计和施工阶段节能强制性标准执行率</w:t>
      </w:r>
      <w:r>
        <w:rPr>
          <w:rFonts w:hint="eastAsia"/>
          <w:color w:val="auto"/>
        </w:rPr>
        <w:t>继续保持</w:t>
      </w:r>
      <w:r>
        <w:rPr>
          <w:color w:val="auto"/>
        </w:rPr>
        <w:t>100%。</w:t>
      </w:r>
      <w:r>
        <w:rPr>
          <w:rFonts w:hint="eastAsia"/>
          <w:color w:val="auto"/>
        </w:rPr>
        <w:t>其中，2016-2019年共计完成142个规划报建阶段的建筑节能评估审查，建筑面积1347.3万</w:t>
      </w:r>
      <w:r>
        <w:rPr>
          <w:rFonts w:hint="eastAsia"/>
          <w:color w:val="auto"/>
          <w:spacing w:val="-1"/>
        </w:rPr>
        <w:t>平方米</w:t>
      </w:r>
      <w:r>
        <w:rPr>
          <w:rFonts w:hint="eastAsia"/>
          <w:color w:val="auto"/>
        </w:rPr>
        <w:t>。（表2-4）。</w:t>
      </w:r>
    </w:p>
    <w:p>
      <w:pPr>
        <w:pStyle w:val="10"/>
        <w:spacing w:before="312"/>
        <w:rPr>
          <w:rFonts w:ascii="黑体" w:hAnsi="黑体" w:cs="黑体"/>
          <w:color w:val="auto"/>
          <w:sz w:val="21"/>
          <w:szCs w:val="21"/>
        </w:rPr>
      </w:pPr>
      <w:bookmarkStart w:id="167" w:name="_Toc10606"/>
      <w:bookmarkStart w:id="168" w:name="_Toc25477"/>
      <w:bookmarkStart w:id="169" w:name="_Toc494555768"/>
      <w:r>
        <w:rPr>
          <w:rFonts w:hint="eastAsia" w:ascii="黑体" w:hAnsi="黑体" w:cs="黑体"/>
          <w:color w:val="auto"/>
          <w:sz w:val="21"/>
          <w:szCs w:val="21"/>
        </w:rPr>
        <w:t>表2-4  2011-2019年三亚市建筑项目节能评估审查工作统计表</w:t>
      </w:r>
    </w:p>
    <w:tbl>
      <w:tblPr>
        <w:tblStyle w:val="39"/>
        <w:tblW w:w="76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
        <w:gridCol w:w="1742"/>
        <w:gridCol w:w="2696"/>
        <w:gridCol w:w="2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51" w:type="dxa"/>
            <w:vAlign w:val="center"/>
          </w:tcPr>
          <w:p>
            <w:pPr>
              <w:pStyle w:val="12"/>
              <w:rPr>
                <w:rFonts w:ascii="Times New Roman" w:hAnsi="Times New Roman"/>
                <w:b/>
                <w:bCs/>
                <w:color w:val="auto"/>
              </w:rPr>
            </w:pPr>
            <w:r>
              <w:rPr>
                <w:rFonts w:ascii="Times New Roman" w:hAnsi="Times New Roman"/>
                <w:b/>
                <w:bCs/>
                <w:color w:val="auto"/>
              </w:rPr>
              <w:t>年份</w:t>
            </w:r>
          </w:p>
        </w:tc>
        <w:tc>
          <w:tcPr>
            <w:tcW w:w="1742" w:type="dxa"/>
            <w:vAlign w:val="center"/>
          </w:tcPr>
          <w:p>
            <w:pPr>
              <w:pStyle w:val="12"/>
              <w:rPr>
                <w:rFonts w:ascii="Times New Roman" w:hAnsi="Times New Roman"/>
                <w:b/>
                <w:bCs/>
                <w:color w:val="auto"/>
              </w:rPr>
            </w:pPr>
            <w:r>
              <w:rPr>
                <w:rFonts w:ascii="Times New Roman" w:hAnsi="Times New Roman"/>
                <w:b/>
                <w:bCs/>
                <w:color w:val="auto"/>
              </w:rPr>
              <w:t>数量（个）</w:t>
            </w:r>
          </w:p>
        </w:tc>
        <w:tc>
          <w:tcPr>
            <w:tcW w:w="2696" w:type="dxa"/>
            <w:vAlign w:val="center"/>
          </w:tcPr>
          <w:p>
            <w:pPr>
              <w:pStyle w:val="12"/>
              <w:rPr>
                <w:rFonts w:ascii="Times New Roman" w:hAnsi="Times New Roman"/>
                <w:b/>
                <w:bCs/>
                <w:color w:val="auto"/>
              </w:rPr>
            </w:pPr>
            <w:r>
              <w:rPr>
                <w:rFonts w:ascii="Times New Roman" w:hAnsi="Times New Roman"/>
                <w:b/>
                <w:bCs/>
                <w:color w:val="auto"/>
              </w:rPr>
              <w:t>类型</w:t>
            </w:r>
          </w:p>
        </w:tc>
        <w:tc>
          <w:tcPr>
            <w:tcW w:w="2271" w:type="dxa"/>
            <w:vAlign w:val="center"/>
          </w:tcPr>
          <w:p>
            <w:pPr>
              <w:pStyle w:val="12"/>
              <w:rPr>
                <w:rFonts w:ascii="Times New Roman" w:hAnsi="Times New Roman"/>
                <w:b/>
                <w:bCs/>
                <w:color w:val="auto"/>
              </w:rPr>
            </w:pPr>
            <w:r>
              <w:rPr>
                <w:rFonts w:ascii="Times New Roman" w:hAnsi="Times New Roman"/>
                <w:b/>
                <w:bCs/>
                <w:color w:val="auto"/>
              </w:rPr>
              <w:t>建筑面积（</w:t>
            </w:r>
            <w:r>
              <w:rPr>
                <w:rFonts w:hint="eastAsia" w:ascii="Times New Roman" w:hAnsi="Times New Roman"/>
                <w:b/>
                <w:bCs/>
                <w:color w:val="auto"/>
              </w:rPr>
              <w:t>万㎡</w:t>
            </w:r>
            <w:r>
              <w:rPr>
                <w:rFonts w:ascii="Times New Roman" w:hAnsi="Times New Roman"/>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51" w:type="dxa"/>
            <w:vAlign w:val="center"/>
          </w:tcPr>
          <w:p>
            <w:pPr>
              <w:pStyle w:val="12"/>
              <w:rPr>
                <w:rFonts w:ascii="Times New Roman" w:hAnsi="Times New Roman"/>
                <w:color w:val="auto"/>
              </w:rPr>
            </w:pPr>
            <w:r>
              <w:rPr>
                <w:rFonts w:ascii="Times New Roman" w:hAnsi="Times New Roman"/>
                <w:color w:val="auto"/>
              </w:rPr>
              <w:t>2011年</w:t>
            </w:r>
          </w:p>
        </w:tc>
        <w:tc>
          <w:tcPr>
            <w:tcW w:w="1742" w:type="dxa"/>
            <w:vAlign w:val="center"/>
          </w:tcPr>
          <w:p>
            <w:pPr>
              <w:pStyle w:val="12"/>
              <w:rPr>
                <w:rFonts w:ascii="Times New Roman" w:hAnsi="Times New Roman"/>
                <w:color w:val="auto"/>
              </w:rPr>
            </w:pPr>
            <w:r>
              <w:rPr>
                <w:rFonts w:ascii="Times New Roman" w:hAnsi="Times New Roman"/>
                <w:color w:val="auto"/>
              </w:rPr>
              <w:t>47</w:t>
            </w:r>
          </w:p>
        </w:tc>
        <w:tc>
          <w:tcPr>
            <w:tcW w:w="2696" w:type="dxa"/>
            <w:vAlign w:val="center"/>
          </w:tcPr>
          <w:p>
            <w:pPr>
              <w:pStyle w:val="12"/>
              <w:rPr>
                <w:rFonts w:ascii="Times New Roman" w:hAnsi="Times New Roman"/>
                <w:color w:val="auto"/>
              </w:rPr>
            </w:pPr>
            <w:r>
              <w:rPr>
                <w:rFonts w:ascii="Times New Roman" w:hAnsi="Times New Roman"/>
                <w:color w:val="auto"/>
              </w:rPr>
              <w:t>建筑节能评估审查</w:t>
            </w:r>
          </w:p>
        </w:tc>
        <w:tc>
          <w:tcPr>
            <w:tcW w:w="2271" w:type="dxa"/>
            <w:vAlign w:val="center"/>
          </w:tcPr>
          <w:p>
            <w:pPr>
              <w:pStyle w:val="12"/>
              <w:rPr>
                <w:rFonts w:ascii="Times New Roman" w:hAnsi="Times New Roman"/>
                <w:color w:val="auto"/>
              </w:rPr>
            </w:pPr>
            <w:r>
              <w:rPr>
                <w:rFonts w:ascii="Times New Roman" w:hAnsi="Times New Roman"/>
                <w:color w:val="auto"/>
              </w:rPr>
              <w:t>272.9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51" w:type="dxa"/>
            <w:vAlign w:val="center"/>
          </w:tcPr>
          <w:p>
            <w:pPr>
              <w:pStyle w:val="12"/>
              <w:rPr>
                <w:rFonts w:ascii="Times New Roman" w:hAnsi="Times New Roman"/>
                <w:color w:val="auto"/>
              </w:rPr>
            </w:pPr>
            <w:r>
              <w:rPr>
                <w:rFonts w:ascii="Times New Roman" w:hAnsi="Times New Roman"/>
                <w:color w:val="auto"/>
              </w:rPr>
              <w:t>2012年</w:t>
            </w:r>
          </w:p>
        </w:tc>
        <w:tc>
          <w:tcPr>
            <w:tcW w:w="1742" w:type="dxa"/>
            <w:vAlign w:val="center"/>
          </w:tcPr>
          <w:p>
            <w:pPr>
              <w:pStyle w:val="12"/>
              <w:rPr>
                <w:rFonts w:ascii="Times New Roman" w:hAnsi="Times New Roman"/>
                <w:color w:val="auto"/>
              </w:rPr>
            </w:pPr>
            <w:r>
              <w:rPr>
                <w:rFonts w:ascii="Times New Roman" w:hAnsi="Times New Roman"/>
                <w:color w:val="auto"/>
              </w:rPr>
              <w:t>58</w:t>
            </w:r>
          </w:p>
        </w:tc>
        <w:tc>
          <w:tcPr>
            <w:tcW w:w="2696" w:type="dxa"/>
            <w:vAlign w:val="center"/>
          </w:tcPr>
          <w:p>
            <w:pPr>
              <w:pStyle w:val="12"/>
              <w:rPr>
                <w:rFonts w:ascii="Times New Roman" w:hAnsi="Times New Roman"/>
                <w:color w:val="auto"/>
              </w:rPr>
            </w:pPr>
            <w:r>
              <w:rPr>
                <w:rFonts w:ascii="Times New Roman" w:hAnsi="Times New Roman"/>
                <w:color w:val="auto"/>
              </w:rPr>
              <w:t>建筑节能评估审查</w:t>
            </w:r>
          </w:p>
        </w:tc>
        <w:tc>
          <w:tcPr>
            <w:tcW w:w="2271" w:type="dxa"/>
            <w:vAlign w:val="center"/>
          </w:tcPr>
          <w:p>
            <w:pPr>
              <w:pStyle w:val="12"/>
              <w:rPr>
                <w:rFonts w:ascii="Times New Roman" w:hAnsi="Times New Roman"/>
                <w:color w:val="auto"/>
              </w:rPr>
            </w:pPr>
            <w:r>
              <w:rPr>
                <w:rFonts w:ascii="Times New Roman" w:hAnsi="Times New Roman"/>
                <w:color w:val="auto"/>
              </w:rPr>
              <w:t>353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51" w:type="dxa"/>
            <w:vAlign w:val="center"/>
          </w:tcPr>
          <w:p>
            <w:pPr>
              <w:pStyle w:val="12"/>
              <w:rPr>
                <w:rFonts w:ascii="Times New Roman" w:hAnsi="Times New Roman"/>
                <w:color w:val="auto"/>
              </w:rPr>
            </w:pPr>
            <w:r>
              <w:rPr>
                <w:rFonts w:ascii="Times New Roman" w:hAnsi="Times New Roman"/>
                <w:color w:val="auto"/>
              </w:rPr>
              <w:t>2013年</w:t>
            </w:r>
          </w:p>
        </w:tc>
        <w:tc>
          <w:tcPr>
            <w:tcW w:w="1742" w:type="dxa"/>
            <w:vAlign w:val="center"/>
          </w:tcPr>
          <w:p>
            <w:pPr>
              <w:pStyle w:val="12"/>
              <w:rPr>
                <w:rFonts w:ascii="Times New Roman" w:hAnsi="Times New Roman"/>
                <w:color w:val="auto"/>
              </w:rPr>
            </w:pPr>
            <w:r>
              <w:rPr>
                <w:rFonts w:ascii="Times New Roman" w:hAnsi="Times New Roman"/>
                <w:color w:val="auto"/>
              </w:rPr>
              <w:t>75</w:t>
            </w:r>
          </w:p>
        </w:tc>
        <w:tc>
          <w:tcPr>
            <w:tcW w:w="2696" w:type="dxa"/>
            <w:vAlign w:val="center"/>
          </w:tcPr>
          <w:p>
            <w:pPr>
              <w:pStyle w:val="12"/>
              <w:rPr>
                <w:rFonts w:ascii="Times New Roman" w:hAnsi="Times New Roman"/>
                <w:color w:val="auto"/>
              </w:rPr>
            </w:pPr>
            <w:r>
              <w:rPr>
                <w:rFonts w:ascii="Times New Roman" w:hAnsi="Times New Roman"/>
                <w:color w:val="auto"/>
              </w:rPr>
              <w:t>建筑节能评估审查</w:t>
            </w:r>
          </w:p>
        </w:tc>
        <w:tc>
          <w:tcPr>
            <w:tcW w:w="2271" w:type="dxa"/>
            <w:vAlign w:val="center"/>
          </w:tcPr>
          <w:p>
            <w:pPr>
              <w:pStyle w:val="12"/>
              <w:rPr>
                <w:rFonts w:ascii="Times New Roman" w:hAnsi="Times New Roman"/>
                <w:color w:val="auto"/>
              </w:rPr>
            </w:pPr>
            <w:r>
              <w:rPr>
                <w:rFonts w:ascii="Times New Roman" w:hAnsi="Times New Roman"/>
                <w:color w:val="auto"/>
              </w:rPr>
              <w:t>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51" w:type="dxa"/>
            <w:vAlign w:val="center"/>
          </w:tcPr>
          <w:p>
            <w:pPr>
              <w:pStyle w:val="12"/>
              <w:rPr>
                <w:rFonts w:ascii="Times New Roman" w:hAnsi="Times New Roman"/>
                <w:color w:val="auto"/>
              </w:rPr>
            </w:pPr>
            <w:r>
              <w:rPr>
                <w:rFonts w:ascii="Times New Roman" w:hAnsi="Times New Roman"/>
                <w:color w:val="auto"/>
              </w:rPr>
              <w:t>2014年</w:t>
            </w:r>
          </w:p>
        </w:tc>
        <w:tc>
          <w:tcPr>
            <w:tcW w:w="1742" w:type="dxa"/>
            <w:vAlign w:val="center"/>
          </w:tcPr>
          <w:p>
            <w:pPr>
              <w:pStyle w:val="12"/>
              <w:rPr>
                <w:rFonts w:ascii="Times New Roman" w:hAnsi="Times New Roman"/>
                <w:color w:val="auto"/>
              </w:rPr>
            </w:pPr>
            <w:r>
              <w:rPr>
                <w:rFonts w:ascii="Times New Roman" w:hAnsi="Times New Roman"/>
                <w:color w:val="auto"/>
              </w:rPr>
              <w:t>68</w:t>
            </w:r>
          </w:p>
        </w:tc>
        <w:tc>
          <w:tcPr>
            <w:tcW w:w="2696" w:type="dxa"/>
            <w:vAlign w:val="center"/>
          </w:tcPr>
          <w:p>
            <w:pPr>
              <w:pStyle w:val="12"/>
              <w:rPr>
                <w:rFonts w:ascii="Times New Roman" w:hAnsi="Times New Roman"/>
                <w:color w:val="auto"/>
              </w:rPr>
            </w:pPr>
            <w:r>
              <w:rPr>
                <w:rFonts w:ascii="Times New Roman" w:hAnsi="Times New Roman"/>
                <w:color w:val="auto"/>
              </w:rPr>
              <w:t>建筑节能评估审查</w:t>
            </w:r>
          </w:p>
        </w:tc>
        <w:tc>
          <w:tcPr>
            <w:tcW w:w="2271" w:type="dxa"/>
            <w:vAlign w:val="center"/>
          </w:tcPr>
          <w:p>
            <w:pPr>
              <w:pStyle w:val="12"/>
              <w:rPr>
                <w:rFonts w:ascii="Times New Roman" w:hAnsi="Times New Roman"/>
                <w:color w:val="auto"/>
              </w:rPr>
            </w:pPr>
            <w:r>
              <w:rPr>
                <w:rFonts w:ascii="Times New Roman" w:hAnsi="Times New Roman"/>
                <w:color w:val="auto"/>
              </w:rPr>
              <w:t>850.99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51" w:type="dxa"/>
            <w:vAlign w:val="center"/>
          </w:tcPr>
          <w:p>
            <w:pPr>
              <w:pStyle w:val="12"/>
              <w:rPr>
                <w:rFonts w:ascii="Times New Roman" w:hAnsi="Times New Roman"/>
                <w:color w:val="auto"/>
              </w:rPr>
            </w:pPr>
            <w:r>
              <w:rPr>
                <w:rFonts w:ascii="Times New Roman" w:hAnsi="Times New Roman"/>
                <w:color w:val="auto"/>
              </w:rPr>
              <w:t>2015年</w:t>
            </w:r>
          </w:p>
        </w:tc>
        <w:tc>
          <w:tcPr>
            <w:tcW w:w="1742" w:type="dxa"/>
            <w:vAlign w:val="center"/>
          </w:tcPr>
          <w:p>
            <w:pPr>
              <w:pStyle w:val="12"/>
              <w:rPr>
                <w:rFonts w:ascii="Times New Roman" w:hAnsi="Times New Roman"/>
                <w:color w:val="auto"/>
              </w:rPr>
            </w:pPr>
            <w:r>
              <w:rPr>
                <w:rFonts w:ascii="Times New Roman" w:hAnsi="Times New Roman"/>
                <w:color w:val="auto"/>
              </w:rPr>
              <w:t>26</w:t>
            </w:r>
          </w:p>
        </w:tc>
        <w:tc>
          <w:tcPr>
            <w:tcW w:w="2696" w:type="dxa"/>
            <w:vAlign w:val="center"/>
          </w:tcPr>
          <w:p>
            <w:pPr>
              <w:pStyle w:val="12"/>
              <w:rPr>
                <w:rFonts w:ascii="Times New Roman" w:hAnsi="Times New Roman"/>
                <w:color w:val="auto"/>
              </w:rPr>
            </w:pPr>
            <w:r>
              <w:rPr>
                <w:rFonts w:ascii="Times New Roman" w:hAnsi="Times New Roman"/>
                <w:color w:val="auto"/>
              </w:rPr>
              <w:t>建筑节能评估审查</w:t>
            </w:r>
          </w:p>
        </w:tc>
        <w:tc>
          <w:tcPr>
            <w:tcW w:w="2271" w:type="dxa"/>
            <w:vAlign w:val="center"/>
          </w:tcPr>
          <w:p>
            <w:pPr>
              <w:pStyle w:val="12"/>
              <w:rPr>
                <w:rFonts w:ascii="Times New Roman" w:hAnsi="Times New Roman"/>
                <w:color w:val="auto"/>
              </w:rPr>
            </w:pPr>
            <w:r>
              <w:rPr>
                <w:rFonts w:ascii="Times New Roman" w:hAnsi="Times New Roman"/>
                <w:color w:val="auto"/>
              </w:rPr>
              <w:t>350.45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51" w:type="dxa"/>
            <w:vAlign w:val="center"/>
          </w:tcPr>
          <w:p>
            <w:pPr>
              <w:pStyle w:val="12"/>
              <w:rPr>
                <w:rFonts w:ascii="Times New Roman" w:hAnsi="Times New Roman"/>
                <w:color w:val="auto"/>
              </w:rPr>
            </w:pPr>
            <w:r>
              <w:rPr>
                <w:rFonts w:ascii="Times New Roman" w:hAnsi="Times New Roman"/>
                <w:color w:val="auto"/>
              </w:rPr>
              <w:t>2016年</w:t>
            </w:r>
          </w:p>
        </w:tc>
        <w:tc>
          <w:tcPr>
            <w:tcW w:w="1742" w:type="dxa"/>
            <w:vAlign w:val="center"/>
          </w:tcPr>
          <w:p>
            <w:pPr>
              <w:pStyle w:val="12"/>
              <w:rPr>
                <w:rFonts w:ascii="Times New Roman" w:hAnsi="Times New Roman"/>
                <w:color w:val="auto"/>
              </w:rPr>
            </w:pPr>
            <w:r>
              <w:rPr>
                <w:rFonts w:ascii="Times New Roman" w:hAnsi="Times New Roman"/>
                <w:color w:val="auto"/>
              </w:rPr>
              <w:t>27</w:t>
            </w:r>
          </w:p>
        </w:tc>
        <w:tc>
          <w:tcPr>
            <w:tcW w:w="2696" w:type="dxa"/>
            <w:vAlign w:val="center"/>
          </w:tcPr>
          <w:p>
            <w:pPr>
              <w:pStyle w:val="12"/>
              <w:rPr>
                <w:rFonts w:ascii="Times New Roman" w:hAnsi="Times New Roman"/>
                <w:color w:val="auto"/>
              </w:rPr>
            </w:pPr>
            <w:r>
              <w:rPr>
                <w:rFonts w:ascii="Times New Roman" w:hAnsi="Times New Roman"/>
                <w:color w:val="auto"/>
              </w:rPr>
              <w:t>建筑节能评估审查</w:t>
            </w:r>
          </w:p>
        </w:tc>
        <w:tc>
          <w:tcPr>
            <w:tcW w:w="2271" w:type="dxa"/>
            <w:vAlign w:val="center"/>
          </w:tcPr>
          <w:p>
            <w:pPr>
              <w:pStyle w:val="12"/>
              <w:rPr>
                <w:rFonts w:ascii="Times New Roman" w:hAnsi="Times New Roman"/>
                <w:color w:val="auto"/>
              </w:rPr>
            </w:pPr>
            <w:r>
              <w:rPr>
                <w:rFonts w:ascii="Times New Roman" w:hAnsi="Times New Roman"/>
                <w:color w:val="auto"/>
              </w:rPr>
              <w:t>118.3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51" w:type="dxa"/>
            <w:vAlign w:val="center"/>
          </w:tcPr>
          <w:p>
            <w:pPr>
              <w:pStyle w:val="12"/>
              <w:rPr>
                <w:rFonts w:ascii="Times New Roman" w:hAnsi="Times New Roman"/>
                <w:color w:val="auto"/>
              </w:rPr>
            </w:pPr>
            <w:r>
              <w:rPr>
                <w:rFonts w:ascii="Times New Roman" w:hAnsi="Times New Roman"/>
                <w:color w:val="auto"/>
              </w:rPr>
              <w:t>2017年</w:t>
            </w:r>
          </w:p>
        </w:tc>
        <w:tc>
          <w:tcPr>
            <w:tcW w:w="1742" w:type="dxa"/>
            <w:vAlign w:val="center"/>
          </w:tcPr>
          <w:p>
            <w:pPr>
              <w:pStyle w:val="12"/>
              <w:rPr>
                <w:rFonts w:ascii="Times New Roman" w:hAnsi="Times New Roman"/>
                <w:color w:val="auto"/>
              </w:rPr>
            </w:pPr>
            <w:r>
              <w:rPr>
                <w:rFonts w:ascii="Times New Roman" w:hAnsi="Times New Roman"/>
                <w:color w:val="auto"/>
              </w:rPr>
              <w:t>40</w:t>
            </w:r>
          </w:p>
        </w:tc>
        <w:tc>
          <w:tcPr>
            <w:tcW w:w="2696" w:type="dxa"/>
            <w:vAlign w:val="center"/>
          </w:tcPr>
          <w:p>
            <w:pPr>
              <w:pStyle w:val="12"/>
              <w:rPr>
                <w:rFonts w:ascii="Times New Roman" w:hAnsi="Times New Roman"/>
                <w:color w:val="auto"/>
              </w:rPr>
            </w:pPr>
            <w:r>
              <w:rPr>
                <w:rFonts w:ascii="Times New Roman" w:hAnsi="Times New Roman"/>
                <w:color w:val="auto"/>
              </w:rPr>
              <w:t>建筑节能评估审查</w:t>
            </w:r>
          </w:p>
        </w:tc>
        <w:tc>
          <w:tcPr>
            <w:tcW w:w="2271" w:type="dxa"/>
            <w:vAlign w:val="center"/>
          </w:tcPr>
          <w:p>
            <w:pPr>
              <w:pStyle w:val="12"/>
              <w:rPr>
                <w:rFonts w:ascii="Times New Roman" w:hAnsi="Times New Roman"/>
                <w:color w:val="auto"/>
              </w:rPr>
            </w:pPr>
            <w:r>
              <w:rPr>
                <w:rFonts w:ascii="Times New Roman" w:hAnsi="Times New Roman"/>
                <w:color w:val="auto"/>
              </w:rPr>
              <w:t>396.47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51" w:type="dxa"/>
            <w:vAlign w:val="center"/>
          </w:tcPr>
          <w:p>
            <w:pPr>
              <w:pStyle w:val="12"/>
              <w:rPr>
                <w:rFonts w:ascii="Times New Roman" w:hAnsi="Times New Roman"/>
                <w:color w:val="auto"/>
              </w:rPr>
            </w:pPr>
            <w:r>
              <w:rPr>
                <w:rFonts w:ascii="Times New Roman" w:hAnsi="Times New Roman"/>
                <w:color w:val="auto"/>
              </w:rPr>
              <w:t>2018年</w:t>
            </w:r>
          </w:p>
        </w:tc>
        <w:tc>
          <w:tcPr>
            <w:tcW w:w="1742" w:type="dxa"/>
            <w:vAlign w:val="center"/>
          </w:tcPr>
          <w:p>
            <w:pPr>
              <w:pStyle w:val="12"/>
              <w:rPr>
                <w:rFonts w:ascii="Times New Roman" w:hAnsi="Times New Roman"/>
                <w:color w:val="auto"/>
              </w:rPr>
            </w:pPr>
            <w:r>
              <w:rPr>
                <w:rFonts w:ascii="Times New Roman" w:hAnsi="Times New Roman"/>
                <w:color w:val="auto"/>
              </w:rPr>
              <w:t>43</w:t>
            </w:r>
          </w:p>
        </w:tc>
        <w:tc>
          <w:tcPr>
            <w:tcW w:w="2696" w:type="dxa"/>
            <w:vAlign w:val="center"/>
          </w:tcPr>
          <w:p>
            <w:pPr>
              <w:pStyle w:val="12"/>
              <w:rPr>
                <w:rFonts w:ascii="Times New Roman" w:hAnsi="Times New Roman"/>
                <w:color w:val="auto"/>
              </w:rPr>
            </w:pPr>
            <w:r>
              <w:rPr>
                <w:rFonts w:ascii="Times New Roman" w:hAnsi="Times New Roman"/>
                <w:color w:val="auto"/>
              </w:rPr>
              <w:t>建筑节能评估审查</w:t>
            </w:r>
          </w:p>
        </w:tc>
        <w:tc>
          <w:tcPr>
            <w:tcW w:w="2271" w:type="dxa"/>
            <w:vAlign w:val="center"/>
          </w:tcPr>
          <w:p>
            <w:pPr>
              <w:pStyle w:val="12"/>
              <w:rPr>
                <w:rFonts w:ascii="Times New Roman" w:hAnsi="Times New Roman"/>
                <w:color w:val="auto"/>
              </w:rPr>
            </w:pPr>
            <w:r>
              <w:rPr>
                <w:rFonts w:ascii="Times New Roman" w:hAnsi="Times New Roman"/>
                <w:color w:val="auto"/>
              </w:rPr>
              <w:t>526.27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51" w:type="dxa"/>
            <w:vAlign w:val="center"/>
          </w:tcPr>
          <w:p>
            <w:pPr>
              <w:pStyle w:val="12"/>
              <w:rPr>
                <w:rFonts w:ascii="Times New Roman" w:hAnsi="Times New Roman"/>
                <w:color w:val="auto"/>
              </w:rPr>
            </w:pPr>
            <w:r>
              <w:rPr>
                <w:rFonts w:ascii="Times New Roman" w:hAnsi="Times New Roman"/>
                <w:color w:val="auto"/>
              </w:rPr>
              <w:t>2019年</w:t>
            </w:r>
          </w:p>
        </w:tc>
        <w:tc>
          <w:tcPr>
            <w:tcW w:w="1742" w:type="dxa"/>
            <w:vAlign w:val="center"/>
          </w:tcPr>
          <w:p>
            <w:pPr>
              <w:pStyle w:val="12"/>
              <w:rPr>
                <w:rFonts w:ascii="Times New Roman" w:hAnsi="Times New Roman"/>
                <w:color w:val="auto"/>
              </w:rPr>
            </w:pPr>
            <w:r>
              <w:rPr>
                <w:rFonts w:ascii="Times New Roman" w:hAnsi="Times New Roman"/>
                <w:color w:val="auto"/>
              </w:rPr>
              <w:t>32</w:t>
            </w:r>
          </w:p>
        </w:tc>
        <w:tc>
          <w:tcPr>
            <w:tcW w:w="2696" w:type="dxa"/>
            <w:vAlign w:val="center"/>
          </w:tcPr>
          <w:p>
            <w:pPr>
              <w:pStyle w:val="12"/>
              <w:rPr>
                <w:rFonts w:ascii="Times New Roman" w:hAnsi="Times New Roman"/>
                <w:color w:val="auto"/>
              </w:rPr>
            </w:pPr>
            <w:r>
              <w:rPr>
                <w:rFonts w:ascii="Times New Roman" w:hAnsi="Times New Roman"/>
                <w:color w:val="auto"/>
              </w:rPr>
              <w:t>建筑节能评估审查</w:t>
            </w:r>
          </w:p>
        </w:tc>
        <w:tc>
          <w:tcPr>
            <w:tcW w:w="2271" w:type="dxa"/>
            <w:vAlign w:val="center"/>
          </w:tcPr>
          <w:p>
            <w:pPr>
              <w:pStyle w:val="12"/>
              <w:rPr>
                <w:rFonts w:ascii="Times New Roman" w:hAnsi="Times New Roman"/>
                <w:color w:val="auto"/>
              </w:rPr>
            </w:pPr>
            <w:r>
              <w:rPr>
                <w:rFonts w:ascii="Times New Roman" w:hAnsi="Times New Roman"/>
                <w:color w:val="auto"/>
              </w:rPr>
              <w:t>306.24</w:t>
            </w:r>
          </w:p>
        </w:tc>
      </w:tr>
      <w:bookmarkEnd w:id="167"/>
      <w:bookmarkEnd w:id="168"/>
      <w:bookmarkEnd w:id="169"/>
    </w:tbl>
    <w:p>
      <w:pPr>
        <w:ind w:firstLine="283" w:firstLineChars="135"/>
        <w:rPr>
          <w:rFonts w:ascii="黑体" w:hAnsi="黑体" w:eastAsia="黑体" w:cs="黑体"/>
          <w:color w:val="auto"/>
          <w:sz w:val="21"/>
          <w:szCs w:val="21"/>
        </w:rPr>
      </w:pPr>
      <w:r>
        <w:rPr>
          <w:rFonts w:hint="eastAsia" w:ascii="黑体" w:hAnsi="黑体" w:eastAsia="黑体" w:cs="黑体"/>
          <w:color w:val="auto"/>
          <w:sz w:val="21"/>
          <w:szCs w:val="21"/>
        </w:rPr>
        <w:t>备注：因为执行工程建设项目审批制度改革，于2</w:t>
      </w:r>
      <w:r>
        <w:rPr>
          <w:rFonts w:ascii="黑体" w:hAnsi="黑体" w:eastAsia="黑体" w:cs="黑体"/>
          <w:color w:val="auto"/>
          <w:sz w:val="21"/>
          <w:szCs w:val="21"/>
        </w:rPr>
        <w:t>019</w:t>
      </w:r>
      <w:r>
        <w:rPr>
          <w:rFonts w:hint="eastAsia" w:ascii="黑体" w:hAnsi="黑体" w:eastAsia="黑体" w:cs="黑体"/>
          <w:color w:val="auto"/>
          <w:sz w:val="21"/>
          <w:szCs w:val="21"/>
        </w:rPr>
        <w:t>年1</w:t>
      </w:r>
      <w:r>
        <w:rPr>
          <w:rFonts w:ascii="黑体" w:hAnsi="黑体" w:eastAsia="黑体" w:cs="黑体"/>
          <w:color w:val="auto"/>
          <w:sz w:val="21"/>
          <w:szCs w:val="21"/>
        </w:rPr>
        <w:t>1</w:t>
      </w:r>
      <w:r>
        <w:rPr>
          <w:rFonts w:hint="eastAsia" w:ascii="黑体" w:hAnsi="黑体" w:eastAsia="黑体" w:cs="黑体"/>
          <w:color w:val="auto"/>
          <w:sz w:val="21"/>
          <w:szCs w:val="21"/>
        </w:rPr>
        <w:t>月取消了建筑节能评估。</w:t>
      </w:r>
    </w:p>
    <w:p>
      <w:pPr>
        <w:rPr>
          <w:color w:val="auto"/>
        </w:rPr>
      </w:pPr>
      <w:r>
        <w:rPr>
          <w:rFonts w:hint="eastAsia"/>
          <w:color w:val="auto"/>
        </w:rPr>
        <w:t>积极探索改革建筑节能验收程序及方式，结合建设工程项目审批制度改革工作要求，将我市新建建筑太阳能热水系统专项工程纳入节能分部工程合并验收监督，简化验收程序，从项目报建、质量安全监督及竣工验收等环节把好关口，实现新建建筑节能设计阶段达标100%，施工阶段达标100%。2019年完成节能审查项目32个，建筑面积306.24万</w:t>
      </w:r>
      <w:r>
        <w:rPr>
          <w:rFonts w:hint="eastAsia"/>
          <w:color w:val="auto"/>
          <w:spacing w:val="-1"/>
        </w:rPr>
        <w:t>平方米</w:t>
      </w:r>
      <w:r>
        <w:rPr>
          <w:rFonts w:hint="eastAsia"/>
          <w:color w:val="auto"/>
        </w:rPr>
        <w:t>，节能验收监督项目61个，建筑面积280.9万</w:t>
      </w:r>
      <w:r>
        <w:rPr>
          <w:rFonts w:hint="eastAsia"/>
          <w:color w:val="auto"/>
          <w:spacing w:val="-1"/>
        </w:rPr>
        <w:t>平方米</w:t>
      </w:r>
      <w:r>
        <w:rPr>
          <w:rFonts w:hint="eastAsia"/>
          <w:color w:val="auto"/>
        </w:rPr>
        <w:t>。</w:t>
      </w:r>
    </w:p>
    <w:p>
      <w:pPr>
        <w:pStyle w:val="4"/>
        <w:rPr>
          <w:color w:val="auto"/>
        </w:rPr>
      </w:pPr>
      <w:bookmarkStart w:id="170" w:name="_Toc31374"/>
      <w:r>
        <w:rPr>
          <w:rFonts w:hint="eastAsia"/>
          <w:color w:val="auto"/>
        </w:rPr>
        <w:t>2.5.2 推进装配式建筑发展</w:t>
      </w:r>
      <w:bookmarkEnd w:id="170"/>
    </w:p>
    <w:p>
      <w:pPr>
        <w:rPr>
          <w:color w:val="auto"/>
        </w:rPr>
      </w:pPr>
      <w:r>
        <w:rPr>
          <w:rFonts w:hint="eastAsia"/>
          <w:color w:val="auto"/>
        </w:rPr>
        <w:t>一是联合市发改委、资规局在项目前期阶段，严格要求执行装配式建筑政策要求，对具备条件的项目采用装配式建筑方式建造。二是制定完善我市装配式建筑配套政策，以市政府名义印发《三亚市装配式建筑推进工作联席会议制度》、《三亚市推进装配式建筑发展实施意见》、《2019年三亚市装配式建筑推进工作措施》、《三亚市装配式建筑发展专项规划（2019-2022）》，《三亚市装配式建筑激励及监管实施细则（试行）》等文件，有效指导、激励开发企业执行装配式建筑政策要求，切实推进我市装配式建筑的实施。至2</w:t>
      </w:r>
      <w:r>
        <w:rPr>
          <w:color w:val="auto"/>
        </w:rPr>
        <w:t>020</w:t>
      </w:r>
      <w:r>
        <w:rPr>
          <w:rFonts w:hint="eastAsia"/>
          <w:color w:val="auto"/>
        </w:rPr>
        <w:t>年下旬，我市建设工程项目“装配式建筑实施方案”通过专家评审</w:t>
      </w:r>
      <w:r>
        <w:rPr>
          <w:color w:val="auto"/>
        </w:rPr>
        <w:t>49</w:t>
      </w:r>
      <w:r>
        <w:rPr>
          <w:rFonts w:hint="eastAsia"/>
          <w:color w:val="auto"/>
        </w:rPr>
        <w:t>个，建筑总面积</w:t>
      </w:r>
      <w:r>
        <w:rPr>
          <w:color w:val="auto"/>
        </w:rPr>
        <w:t>449</w:t>
      </w:r>
      <w:r>
        <w:rPr>
          <w:rFonts w:hint="eastAsia"/>
          <w:color w:val="auto"/>
        </w:rPr>
        <w:t>万平方米，装配式建筑面积3</w:t>
      </w:r>
      <w:r>
        <w:rPr>
          <w:color w:val="auto"/>
        </w:rPr>
        <w:t>17</w:t>
      </w:r>
      <w:r>
        <w:rPr>
          <w:rFonts w:hint="eastAsia"/>
          <w:color w:val="auto"/>
        </w:rPr>
        <w:t>万平方米。</w:t>
      </w:r>
    </w:p>
    <w:p>
      <w:pPr>
        <w:pStyle w:val="4"/>
        <w:rPr>
          <w:color w:val="auto"/>
        </w:rPr>
      </w:pPr>
      <w:bookmarkStart w:id="171" w:name="_Toc15809"/>
      <w:r>
        <w:rPr>
          <w:rFonts w:hint="eastAsia"/>
          <w:color w:val="auto"/>
        </w:rPr>
        <w:t>2.5.3 稳步推进绿色建筑工程实体质量</w:t>
      </w:r>
      <w:bookmarkEnd w:id="171"/>
    </w:p>
    <w:p>
      <w:pPr>
        <w:rPr>
          <w:color w:val="auto"/>
        </w:rPr>
      </w:pPr>
      <w:r>
        <w:rPr>
          <w:rFonts w:hint="eastAsia"/>
          <w:color w:val="auto"/>
        </w:rPr>
        <w:t>2019年我市执行绿色建筑面积573.98万平方米，占施工许可总面积比例为89%。2020年施工许可报建中执行绿色建筑标准项目103个，建筑面积671万㎡，占施工许可总建筑面积比例88%。竣工验收备案项目中执行绿色建筑项目67个，建筑面积356.62万</w:t>
      </w:r>
      <w:r>
        <w:rPr>
          <w:rFonts w:hint="eastAsia"/>
          <w:color w:val="auto"/>
          <w:spacing w:val="-1"/>
        </w:rPr>
        <w:t>平方米</w:t>
      </w:r>
      <w:r>
        <w:rPr>
          <w:rFonts w:hint="eastAsia"/>
          <w:color w:val="auto"/>
        </w:rPr>
        <w:t>，占竣工验收备案总建筑面积74%。</w:t>
      </w:r>
    </w:p>
    <w:p>
      <w:pPr>
        <w:rPr>
          <w:color w:val="auto"/>
        </w:rPr>
      </w:pPr>
      <w:r>
        <w:rPr>
          <w:rFonts w:hint="eastAsia"/>
          <w:color w:val="auto"/>
        </w:rPr>
        <w:t>2019年共有8个项目获得绿色建筑设计标识证书，建筑面积44.36万</w:t>
      </w:r>
      <w:r>
        <w:rPr>
          <w:rFonts w:hint="eastAsia"/>
          <w:color w:val="auto"/>
          <w:spacing w:val="-1"/>
        </w:rPr>
        <w:t>平方米</w:t>
      </w:r>
      <w:r>
        <w:rPr>
          <w:rFonts w:hint="eastAsia"/>
          <w:color w:val="auto"/>
        </w:rPr>
        <w:t>；2个项目获得绿色建筑标识证书（运行阶段），建筑面积31.53万</w:t>
      </w:r>
      <w:r>
        <w:rPr>
          <w:rFonts w:hint="eastAsia"/>
          <w:color w:val="auto"/>
          <w:spacing w:val="-1"/>
        </w:rPr>
        <w:t>平方米</w:t>
      </w:r>
      <w:r>
        <w:rPr>
          <w:rFonts w:hint="eastAsia"/>
          <w:color w:val="auto"/>
        </w:rPr>
        <w:t>。</w:t>
      </w:r>
    </w:p>
    <w:bookmarkEnd w:id="153"/>
    <w:bookmarkEnd w:id="154"/>
    <w:bookmarkEnd w:id="155"/>
    <w:bookmarkEnd w:id="156"/>
    <w:bookmarkEnd w:id="157"/>
    <w:bookmarkEnd w:id="158"/>
    <w:bookmarkEnd w:id="159"/>
    <w:bookmarkEnd w:id="160"/>
    <w:p>
      <w:pPr>
        <w:pStyle w:val="4"/>
        <w:rPr>
          <w:color w:val="auto"/>
        </w:rPr>
      </w:pPr>
      <w:bookmarkStart w:id="172" w:name="_Toc20065"/>
      <w:r>
        <w:rPr>
          <w:rFonts w:hint="eastAsia"/>
          <w:color w:val="auto"/>
        </w:rPr>
        <w:t>2.5.4 可再生能源建筑应用</w:t>
      </w:r>
      <w:bookmarkEnd w:id="172"/>
    </w:p>
    <w:p>
      <w:pPr>
        <w:ind w:firstLine="556"/>
        <w:rPr>
          <w:color w:val="auto"/>
          <w:spacing w:val="-1"/>
        </w:rPr>
      </w:pPr>
      <w:r>
        <w:rPr>
          <w:rFonts w:hint="eastAsia"/>
          <w:color w:val="auto"/>
          <w:spacing w:val="-1"/>
        </w:rPr>
        <w:t>严格规范我市新建、改扩建建筑太阳能热水系统项目应用管理，提升太阳能热水系统在我市建筑领域的高水平应用。2020年已建成投入使用的太阳能热水系统建筑应用项目54个，建筑面积288.93万平方米，应用面积约168.03万平方米，集热器面积约4.68万平方米。</w:t>
      </w:r>
    </w:p>
    <w:p>
      <w:pPr>
        <w:pStyle w:val="4"/>
        <w:rPr>
          <w:color w:val="auto"/>
        </w:rPr>
      </w:pPr>
      <w:bookmarkStart w:id="173" w:name="_Toc13445"/>
      <w:r>
        <w:rPr>
          <w:rFonts w:hint="eastAsia"/>
          <w:color w:val="auto"/>
        </w:rPr>
        <w:t>2.5.5 大力宣传建筑节能相关政策</w:t>
      </w:r>
      <w:bookmarkEnd w:id="173"/>
    </w:p>
    <w:p>
      <w:pPr>
        <w:ind w:firstLine="556"/>
        <w:rPr>
          <w:color w:val="auto"/>
          <w:spacing w:val="-1"/>
        </w:rPr>
      </w:pPr>
      <w:r>
        <w:rPr>
          <w:rFonts w:hint="eastAsia"/>
          <w:color w:val="auto"/>
          <w:spacing w:val="-1"/>
        </w:rPr>
        <w:t>积极宣贯省、市有关装配式建筑政策要求，多次参加上级部门组织的业务培训，提升自我监管服务能力。另外，开展装配式建筑政策培训班，对全市有关职能部门、建设工程项目参建各方等300名骨干人员进行培训。进一步增强有关职能部门、建设工程项目参建各方对装配式建筑重要性的认知，为推动我市装配式发展营造良好氛围，更为我市建筑产业现代化发展奠定扎实基础。</w:t>
      </w:r>
    </w:p>
    <w:p>
      <w:pPr>
        <w:pStyle w:val="3"/>
        <w:spacing w:before="156" w:after="156"/>
        <w:rPr>
          <w:rFonts w:ascii="黑体" w:hAnsi="黑体"/>
          <w:color w:val="auto"/>
          <w:sz w:val="32"/>
          <w:szCs w:val="32"/>
        </w:rPr>
      </w:pPr>
      <w:bookmarkStart w:id="174" w:name="_Toc29964"/>
      <w:bookmarkStart w:id="175" w:name="_Toc495143583"/>
      <w:bookmarkStart w:id="176" w:name="_Toc486331882"/>
      <w:bookmarkStart w:id="177" w:name="_Toc493"/>
      <w:bookmarkStart w:id="178" w:name="_Toc27593"/>
      <w:bookmarkStart w:id="179" w:name="_Toc1537"/>
      <w:r>
        <w:rPr>
          <w:rFonts w:hint="eastAsia"/>
          <w:color w:val="auto"/>
        </w:rPr>
        <w:t>2.6</w:t>
      </w:r>
      <w:bookmarkEnd w:id="174"/>
      <w:bookmarkEnd w:id="175"/>
      <w:bookmarkEnd w:id="176"/>
      <w:bookmarkEnd w:id="177"/>
      <w:bookmarkEnd w:id="178"/>
      <w:r>
        <w:rPr>
          <w:rFonts w:hint="eastAsia"/>
          <w:color w:val="auto"/>
        </w:rPr>
        <w:t>节能及相关</w:t>
      </w:r>
      <w:r>
        <w:rPr>
          <w:rFonts w:hint="eastAsia" w:ascii="黑体" w:hAnsi="黑体"/>
          <w:color w:val="auto"/>
          <w:sz w:val="32"/>
          <w:szCs w:val="32"/>
        </w:rPr>
        <w:t>工作中存在的问题</w:t>
      </w:r>
      <w:bookmarkEnd w:id="179"/>
    </w:p>
    <w:p>
      <w:pPr>
        <w:pStyle w:val="4"/>
        <w:rPr>
          <w:color w:val="auto"/>
        </w:rPr>
      </w:pPr>
      <w:bookmarkStart w:id="180" w:name="_Toc25089"/>
      <w:r>
        <w:rPr>
          <w:rFonts w:hint="eastAsia"/>
          <w:color w:val="auto"/>
        </w:rPr>
        <w:t>2.6.1 施工及验收工作有待进一步加强</w:t>
      </w:r>
      <w:bookmarkEnd w:id="180"/>
    </w:p>
    <w:p>
      <w:pPr>
        <w:rPr>
          <w:color w:val="auto"/>
        </w:rPr>
      </w:pPr>
      <w:r>
        <w:rPr>
          <w:rFonts w:hint="eastAsia"/>
          <w:color w:val="auto"/>
        </w:rPr>
        <w:t>施工现场基本能够按图施工，基本无违反建筑节能、绿色建筑强制性条文情况，无擅自修改建筑节能、绿色建筑工程设计文件的情况。验收阶段，各项目基本按照建筑节能专项验收程序，严格执行《海南省建筑节能分部工程质量验收工作程序》的要求，以《建筑节能工程施工质量验收规范》为依据全面开展建筑节能验收工作，新建建筑基本达到节能标准。</w:t>
      </w:r>
    </w:p>
    <w:p>
      <w:pPr>
        <w:rPr>
          <w:color w:val="auto"/>
        </w:rPr>
      </w:pPr>
      <w:r>
        <w:rPr>
          <w:rFonts w:hint="eastAsia"/>
          <w:color w:val="auto"/>
        </w:rPr>
        <w:t>施工过程中存在的问题：</w:t>
      </w:r>
    </w:p>
    <w:p>
      <w:pPr>
        <w:numPr>
          <w:ilvl w:val="0"/>
          <w:numId w:val="3"/>
        </w:numPr>
        <w:rPr>
          <w:color w:val="auto"/>
        </w:rPr>
      </w:pPr>
      <w:r>
        <w:rPr>
          <w:rFonts w:hint="eastAsia"/>
          <w:color w:val="auto"/>
        </w:rPr>
        <w:t>个别项目外墙填充材料与节能设计文件中所采用的加气混凝土砌块不符。</w:t>
      </w:r>
    </w:p>
    <w:p>
      <w:pPr>
        <w:numPr>
          <w:ilvl w:val="0"/>
          <w:numId w:val="3"/>
        </w:numPr>
        <w:rPr>
          <w:color w:val="auto"/>
        </w:rPr>
      </w:pPr>
      <w:r>
        <w:rPr>
          <w:rFonts w:hint="eastAsia"/>
          <w:color w:val="auto"/>
        </w:rPr>
        <w:t>部分施工单位无绿色施工方案。</w:t>
      </w:r>
    </w:p>
    <w:p>
      <w:pPr>
        <w:numPr>
          <w:ilvl w:val="0"/>
          <w:numId w:val="3"/>
        </w:numPr>
        <w:rPr>
          <w:color w:val="auto"/>
        </w:rPr>
      </w:pPr>
      <w:r>
        <w:rPr>
          <w:rFonts w:hint="eastAsia"/>
          <w:color w:val="auto"/>
        </w:rPr>
        <w:t>目前无绿色建筑验收要求。</w:t>
      </w:r>
    </w:p>
    <w:p>
      <w:pPr>
        <w:pStyle w:val="4"/>
        <w:rPr>
          <w:color w:val="auto"/>
        </w:rPr>
      </w:pPr>
      <w:bookmarkStart w:id="181" w:name="_Toc2068"/>
      <w:r>
        <w:rPr>
          <w:rFonts w:hint="eastAsia"/>
          <w:color w:val="auto"/>
        </w:rPr>
        <w:t>2.6.2高星级标识项目有待推进</w:t>
      </w:r>
      <w:bookmarkEnd w:id="181"/>
    </w:p>
    <w:p>
      <w:pPr>
        <w:ind w:firstLine="556"/>
        <w:rPr>
          <w:color w:val="auto"/>
          <w:spacing w:val="-1"/>
        </w:rPr>
      </w:pPr>
      <w:r>
        <w:rPr>
          <w:rFonts w:hint="eastAsia"/>
          <w:color w:val="auto"/>
          <w:spacing w:val="-1"/>
        </w:rPr>
        <w:t>“十二五”期间，三亚市建筑节能与绿色建筑技术得到一定的推广和应用，虽然取得了一定的成绩，对比省内其他市县具有领先地位，但是同时也要意识到对比岛外其他地区仍有很大的差距。取得高星级绿色建筑评价标识的项目仍然较少，无取得运营标识的绿色建筑项目。</w:t>
      </w:r>
    </w:p>
    <w:p>
      <w:pPr>
        <w:ind w:firstLine="556"/>
        <w:rPr>
          <w:color w:val="auto"/>
          <w:spacing w:val="-1"/>
        </w:rPr>
      </w:pPr>
      <w:r>
        <w:rPr>
          <w:rFonts w:hint="eastAsia"/>
          <w:color w:val="auto"/>
          <w:spacing w:val="-1"/>
        </w:rPr>
        <w:t>“十三五”期间，三亚绿色建筑推进工作较好，在强制执行绿色建筑一星级的基础上，申报绿色建筑标识数量增长较快。其中，取得运行标识的绿色建筑项目为3个，居全省前列。</w:t>
      </w:r>
    </w:p>
    <w:p>
      <w:pPr>
        <w:ind w:firstLine="556"/>
        <w:rPr>
          <w:color w:val="auto"/>
          <w:spacing w:val="-1"/>
        </w:rPr>
      </w:pPr>
      <w:r>
        <w:rPr>
          <w:rFonts w:hint="eastAsia"/>
          <w:color w:val="auto"/>
          <w:spacing w:val="-1"/>
        </w:rPr>
        <w:t>2019年，《绿色建筑评价标准》</w:t>
      </w:r>
      <w:r>
        <w:rPr>
          <w:rFonts w:hint="eastAsia"/>
          <w:color w:val="auto"/>
        </w:rPr>
        <w:t>（GB/T50318—2019）</w:t>
      </w:r>
      <w:r>
        <w:rPr>
          <w:rFonts w:hint="eastAsia"/>
          <w:color w:val="auto"/>
          <w:spacing w:val="-1"/>
        </w:rPr>
        <w:t>颁布实施，绿色建筑要求有所提高，绿色建筑等级划分由原来的3个等级变为目前的基本级、一星级、二星级、三星级4个等级，评价内容也有所提升。2</w:t>
      </w:r>
      <w:r>
        <w:rPr>
          <w:color w:val="auto"/>
          <w:spacing w:val="-1"/>
        </w:rPr>
        <w:t>019</w:t>
      </w:r>
      <w:r>
        <w:rPr>
          <w:rFonts w:hint="eastAsia"/>
          <w:color w:val="auto"/>
          <w:spacing w:val="-1"/>
        </w:rPr>
        <w:t>年7月，海南省住房和城乡建设厅印发《海南省绿色建筑设计说明专篇(2019年版 )》，全省强制执行绿色建筑基本级的要求。三亚目前亦按此要求执行。在标识申报上，因2</w:t>
      </w:r>
      <w:r>
        <w:rPr>
          <w:color w:val="auto"/>
          <w:spacing w:val="-1"/>
        </w:rPr>
        <w:t>019</w:t>
      </w:r>
      <w:r>
        <w:rPr>
          <w:rFonts w:hint="eastAsia"/>
          <w:color w:val="auto"/>
          <w:spacing w:val="-1"/>
        </w:rPr>
        <w:t>版《绿色建筑评价标准》取消了设计标识的评价，绿色建筑评价改为在建筑工程竣工后进行，企业申报标识意愿较低，目前三亚标识申报总数有所下降，取得高星级绿色建筑评价标识的项目较少，高星级标识项目有待推进。</w:t>
      </w:r>
    </w:p>
    <w:p>
      <w:pPr>
        <w:pStyle w:val="4"/>
        <w:rPr>
          <w:color w:val="auto"/>
        </w:rPr>
      </w:pPr>
      <w:bookmarkStart w:id="182" w:name="_Toc9552"/>
      <w:r>
        <w:rPr>
          <w:rFonts w:hint="eastAsia"/>
          <w:color w:val="auto"/>
        </w:rPr>
        <w:t>2.6.3绿色建筑有待向高品质发展</w:t>
      </w:r>
      <w:bookmarkEnd w:id="182"/>
    </w:p>
    <w:p>
      <w:pPr>
        <w:ind w:firstLine="556"/>
        <w:rPr>
          <w:color w:val="auto"/>
          <w:spacing w:val="-1"/>
        </w:rPr>
      </w:pPr>
      <w:r>
        <w:rPr>
          <w:rFonts w:hint="eastAsia"/>
          <w:color w:val="auto"/>
          <w:spacing w:val="-1"/>
        </w:rPr>
        <w:t>新时代绿色建筑发展面临的新形势和新任务。当前，中国特色社会主义进入新时代，社会主要矛盾已经转化为人民日益增长的美好生活需要和不平衡、不充分的发展之间的矛盾。公众对建筑领域的关注点也从过去的“遮风挡雨、驱寒避暑”转变为“绿色宜居、健康舒适”，建筑品质的提升正逐步成为公众的核心诉求。</w:t>
      </w:r>
    </w:p>
    <w:p>
      <w:pPr>
        <w:ind w:firstLine="556"/>
        <w:rPr>
          <w:color w:val="auto"/>
          <w:spacing w:val="-1"/>
        </w:rPr>
      </w:pPr>
      <w:r>
        <w:rPr>
          <w:rFonts w:hint="eastAsia"/>
          <w:color w:val="auto"/>
          <w:spacing w:val="-1"/>
        </w:rPr>
        <w:t>绿色建筑从2014年以节地、节能、节水、节材、环境保护即“四节一环保”为核心内容的发展理念，到2019年以“安全耐久、健康舒适、生活便利、资源节约和环境宜居”为主要内容的评价体系，绿色建筑评价标准的构建从以人为本的角度出发，越来越注重各类居住人群对建筑绿色性能的实际需求。让全社会对绿色建筑的理解不止停留在定义层面，使居民从生活的方方面面体会到绿色建筑的带来的安全性、舒适性、便利性等实际使用性能。通过科学的建筑设计，综合新能源开发，节能技术以及绿色建筑材料的使用，充分实现“人与自然”的和谐相处。绿色建筑的核心思想是“以人为本”，是建筑业解决不平衡不充分问题的重要途径。新时代下绿色建筑的发展应该以满足人民群众对美好生活的需要为基本导向，以建筑品质保障为目标，着力改善人居环境，努力提升社会公众的对绿色建筑的认可度和获得感。因此，需要全面提升绿色建筑实效，促进建筑品质高质量发展。</w:t>
      </w:r>
    </w:p>
    <w:p>
      <w:pPr>
        <w:pStyle w:val="4"/>
        <w:rPr>
          <w:color w:val="auto"/>
        </w:rPr>
      </w:pPr>
      <w:bookmarkStart w:id="183" w:name="_Toc9773"/>
      <w:r>
        <w:rPr>
          <w:rFonts w:hint="eastAsia"/>
          <w:color w:val="auto"/>
        </w:rPr>
        <w:t>2.6.4可再生能源建筑应用存在问题</w:t>
      </w:r>
      <w:bookmarkEnd w:id="183"/>
    </w:p>
    <w:p>
      <w:pPr>
        <w:ind w:firstLine="556"/>
        <w:rPr>
          <w:color w:val="auto"/>
          <w:spacing w:val="-1"/>
        </w:rPr>
      </w:pPr>
      <w:r>
        <w:rPr>
          <w:rFonts w:hint="eastAsia"/>
          <w:color w:val="auto"/>
          <w:spacing w:val="-1"/>
        </w:rPr>
        <w:t>三亚市作为可再生能源建筑应用示范城市，在“十二五”期间实现了太阳能热水系统的最大化利用，顺利完成了示范目标。但是在推广的过程中，由于存在设计、施工、使用以及维护等问题，导致太阳能热水系统并没有发挥理想中的节能效益，反而造成了空置闲置，增加了人民群众的负担。未来如何维护可再生能源建筑应用示范城市的建设成果，更加合理有效的利用可再生能源，将是非常重要的课题。</w:t>
      </w:r>
    </w:p>
    <w:p>
      <w:pPr>
        <w:pStyle w:val="4"/>
        <w:rPr>
          <w:color w:val="auto"/>
        </w:rPr>
      </w:pPr>
      <w:bookmarkStart w:id="184" w:name="_Toc17683"/>
      <w:r>
        <w:rPr>
          <w:rFonts w:hint="eastAsia"/>
          <w:color w:val="auto"/>
        </w:rPr>
        <w:t>2.6.5节能及绿建设计要求需进一步落实</w:t>
      </w:r>
      <w:bookmarkEnd w:id="184"/>
    </w:p>
    <w:p>
      <w:pPr>
        <w:numPr>
          <w:ilvl w:val="0"/>
          <w:numId w:val="4"/>
        </w:numPr>
        <w:rPr>
          <w:color w:val="auto"/>
        </w:rPr>
      </w:pPr>
      <w:r>
        <w:rPr>
          <w:rFonts w:hint="eastAsia"/>
          <w:color w:val="auto"/>
        </w:rPr>
        <w:t>根据历年节能检查情况，目前节能设计情况执行较好，图纸基本上都有节能专篇，且内容基本满足节能设计标准强制性条文的要求。但是也存在一些问题，具体如下：</w:t>
      </w:r>
    </w:p>
    <w:p>
      <w:pPr>
        <w:numPr>
          <w:ilvl w:val="0"/>
          <w:numId w:val="5"/>
        </w:numPr>
        <w:rPr>
          <w:color w:val="auto"/>
        </w:rPr>
      </w:pPr>
      <w:r>
        <w:rPr>
          <w:rFonts w:hint="eastAsia"/>
          <w:color w:val="auto"/>
        </w:rPr>
        <w:t>个别项目施工图建筑构造用料做法中屋面构造做法与节能专篇（节能计算书）中屋面构造做法不一致。</w:t>
      </w:r>
    </w:p>
    <w:p>
      <w:pPr>
        <w:numPr>
          <w:ilvl w:val="0"/>
          <w:numId w:val="5"/>
        </w:numPr>
        <w:rPr>
          <w:color w:val="auto"/>
        </w:rPr>
      </w:pPr>
      <w:r>
        <w:rPr>
          <w:rFonts w:hint="eastAsia"/>
          <w:color w:val="auto"/>
        </w:rPr>
        <w:t>个别项目节能计算书中设置了遮阳措施，图纸中未体现。</w:t>
      </w:r>
    </w:p>
    <w:p>
      <w:pPr>
        <w:rPr>
          <w:color w:val="auto"/>
        </w:rPr>
      </w:pPr>
      <w:r>
        <w:rPr>
          <w:rFonts w:hint="eastAsia"/>
          <w:color w:val="auto"/>
        </w:rPr>
        <w:t>3、给水节能方面基本可以做到市政余压利用；太阳能热水系统的设置满足省政府227号文的要求，辅助热源基本上采用空气源热泵，满足节能要求。存在问题：个别项目太阳能集热器进出水管错误；系统节能方面，高层建筑都能分区供水，仅个别高层项目热水系统未采取分区供水。</w:t>
      </w:r>
    </w:p>
    <w:p>
      <w:pPr>
        <w:numPr>
          <w:ilvl w:val="0"/>
          <w:numId w:val="4"/>
        </w:numPr>
        <w:rPr>
          <w:color w:val="auto"/>
        </w:rPr>
      </w:pPr>
      <w:r>
        <w:rPr>
          <w:rFonts w:hint="eastAsia"/>
          <w:color w:val="auto"/>
        </w:rPr>
        <w:t>根据历年节能检查情况，绿色建筑设计基本上都按照省里相关规定进行绿色设计，并满足</w:t>
      </w:r>
      <w:r>
        <w:rPr>
          <w:color w:val="auto"/>
        </w:rPr>
        <w:t>《海南省绿色建筑设计基本规定》</w:t>
      </w:r>
      <w:r>
        <w:rPr>
          <w:rFonts w:hint="eastAsia"/>
          <w:color w:val="auto"/>
        </w:rPr>
        <w:t>及《海南省绿色建筑设计施工图专篇》要求。存在问题如下：</w:t>
      </w:r>
    </w:p>
    <w:p>
      <w:pPr>
        <w:rPr>
          <w:color w:val="auto"/>
        </w:rPr>
      </w:pPr>
      <w:r>
        <w:rPr>
          <w:rFonts w:hint="eastAsia"/>
          <w:color w:val="auto"/>
        </w:rPr>
        <w:t>1、个别项目施工图设计文件中未对应落实绿建标准条文设计内容，如楼面构造不满足隔声要求；未设计非机动车停车设施等。</w:t>
      </w:r>
    </w:p>
    <w:p>
      <w:pPr>
        <w:rPr>
          <w:color w:val="auto"/>
        </w:rPr>
      </w:pPr>
      <w:r>
        <w:rPr>
          <w:rFonts w:hint="eastAsia"/>
          <w:color w:val="auto"/>
        </w:rPr>
        <w:t>2、由于项目景观设计滞后于项目建筑单体设计，绿化及灌溉部分在评分时列为得分项，而建筑设计院不能提供相应的绿化及灌溉图纸；</w:t>
      </w:r>
    </w:p>
    <w:p>
      <w:pPr>
        <w:rPr>
          <w:color w:val="auto"/>
        </w:rPr>
      </w:pPr>
      <w:r>
        <w:rPr>
          <w:rFonts w:hint="eastAsia"/>
          <w:color w:val="auto"/>
        </w:rPr>
        <w:t>3、雨水积蓄利用、中水回用等非传统水源利用的项目非常少。</w:t>
      </w:r>
    </w:p>
    <w:p>
      <w:pPr>
        <w:pStyle w:val="4"/>
        <w:rPr>
          <w:color w:val="auto"/>
        </w:rPr>
      </w:pPr>
      <w:bookmarkStart w:id="185" w:name="_Toc16988"/>
      <w:r>
        <w:rPr>
          <w:rFonts w:hint="eastAsia"/>
          <w:color w:val="auto"/>
        </w:rPr>
        <w:t>2.6.6装配式建筑发展模式亟待研究</w:t>
      </w:r>
      <w:bookmarkEnd w:id="185"/>
    </w:p>
    <w:p>
      <w:pPr>
        <w:ind w:firstLine="556"/>
        <w:rPr>
          <w:color w:val="auto"/>
          <w:spacing w:val="-1"/>
        </w:rPr>
      </w:pPr>
      <w:r>
        <w:rPr>
          <w:rFonts w:hint="eastAsia"/>
          <w:color w:val="auto"/>
          <w:spacing w:val="-1"/>
        </w:rPr>
        <w:t>2017年底，《海南省人民政府关于大力发展装配式建筑的实施意见》琼府[2017]100号正式发布，要求在全省大力发展装配式建筑，通过建造方式的变革，促进建筑业转型升级。如何发挥政府规划、引导和服务作用，培育装配式建筑产业落地生根，如何营造适合装配式建筑发展的市场环境，推动装配式建筑设计、生产、施工、使用维护全面变革，将是未来的工作重点。</w:t>
      </w:r>
    </w:p>
    <w:p>
      <w:pPr>
        <w:pStyle w:val="4"/>
        <w:rPr>
          <w:color w:val="auto"/>
        </w:rPr>
      </w:pPr>
      <w:bookmarkStart w:id="186" w:name="_Toc16709"/>
      <w:r>
        <w:rPr>
          <w:rFonts w:hint="eastAsia"/>
          <w:color w:val="auto"/>
        </w:rPr>
        <w:t>2.6.7节能宣传有待进一步推广</w:t>
      </w:r>
      <w:bookmarkEnd w:id="186"/>
    </w:p>
    <w:p>
      <w:pPr>
        <w:rPr>
          <w:color w:val="auto"/>
        </w:rPr>
      </w:pPr>
      <w:r>
        <w:rPr>
          <w:rFonts w:hint="eastAsia"/>
          <w:color w:val="auto"/>
        </w:rPr>
        <w:t>目前群众的节能、环保意识仍相对滞后，对节能产品、绿色产品、绿色建材、装配式建筑认识不够。需进一步加大宣传力度，不断提高广大群众对建筑节能、绿色建筑的认识，树立绿色生活的理念。</w:t>
      </w:r>
    </w:p>
    <w:p>
      <w:pPr>
        <w:rPr>
          <w:color w:val="auto"/>
        </w:rPr>
      </w:pPr>
      <w:r>
        <w:rPr>
          <w:rFonts w:hint="eastAsia"/>
          <w:color w:val="auto"/>
        </w:rPr>
        <w:t>其次，需加强参建各方的管理人员、技术人员的建筑节能、绿色建筑、装配式建筑等相关知识培训，提高工程技术人员对相关法规，规范及新型材料、新技术的认识和了解，并能落实在工程实践中，加快绿色建筑推广步伐。</w:t>
      </w:r>
    </w:p>
    <w:p>
      <w:pPr>
        <w:ind w:firstLine="556"/>
        <w:rPr>
          <w:color w:val="auto"/>
          <w:spacing w:val="-1"/>
        </w:rPr>
      </w:pPr>
    </w:p>
    <w:p>
      <w:pPr>
        <w:ind w:firstLine="556"/>
        <w:rPr>
          <w:color w:val="auto"/>
          <w:spacing w:val="-1"/>
        </w:rPr>
      </w:pPr>
    </w:p>
    <w:p>
      <w:pPr>
        <w:ind w:firstLine="556"/>
        <w:rPr>
          <w:color w:val="auto"/>
          <w:spacing w:val="-1"/>
        </w:rPr>
      </w:pPr>
      <w:r>
        <w:rPr>
          <w:color w:val="auto"/>
          <w:spacing w:val="-1"/>
        </w:rPr>
        <w:br w:type="page"/>
      </w:r>
    </w:p>
    <w:p>
      <w:pPr>
        <w:pStyle w:val="2"/>
        <w:numPr>
          <w:ilvl w:val="0"/>
          <w:numId w:val="6"/>
        </w:numPr>
        <w:spacing w:before="156" w:after="156"/>
        <w:rPr>
          <w:color w:val="auto"/>
        </w:rPr>
      </w:pPr>
      <w:bookmarkStart w:id="187" w:name="_Toc346717821"/>
      <w:bookmarkStart w:id="188" w:name="_Toc494555770"/>
      <w:bookmarkStart w:id="189" w:name="_Toc14887"/>
      <w:bookmarkStart w:id="190" w:name="_Toc7327"/>
      <w:bookmarkStart w:id="191" w:name="_Toc4655"/>
      <w:r>
        <w:rPr>
          <w:rFonts w:hint="eastAsia"/>
          <w:color w:val="auto"/>
        </w:rPr>
        <w:t>三亚市民用建筑区域节能目标及能耗</w:t>
      </w:r>
      <w:bookmarkStart w:id="192" w:name="_Toc346465498"/>
      <w:bookmarkStart w:id="193" w:name="_Toc346717822"/>
      <w:bookmarkStart w:id="194" w:name="_Toc494555771"/>
      <w:bookmarkStart w:id="195" w:name="_Toc16863"/>
      <w:bookmarkStart w:id="196" w:name="_Toc16197"/>
      <w:bookmarkStart w:id="197" w:name="_Toc343617569"/>
      <w:bookmarkStart w:id="198" w:name="_Toc342491576"/>
      <w:bookmarkStart w:id="199" w:name="_Toc343691978"/>
      <w:bookmarkEnd w:id="187"/>
      <w:bookmarkEnd w:id="188"/>
      <w:bookmarkEnd w:id="189"/>
      <w:bookmarkEnd w:id="190"/>
      <w:r>
        <w:rPr>
          <w:rFonts w:hint="eastAsia"/>
          <w:color w:val="auto"/>
        </w:rPr>
        <w:t>指标评估</w:t>
      </w:r>
      <w:bookmarkEnd w:id="191"/>
    </w:p>
    <w:p>
      <w:pPr>
        <w:rPr>
          <w:color w:val="auto"/>
        </w:rPr>
      </w:pPr>
      <w:r>
        <w:rPr>
          <w:rFonts w:hint="eastAsia"/>
          <w:color w:val="auto"/>
        </w:rPr>
        <w:t>民用</w:t>
      </w:r>
      <w:r>
        <w:rPr>
          <w:color w:val="auto"/>
        </w:rPr>
        <w:t>建筑</w:t>
      </w:r>
      <w:r>
        <w:rPr>
          <w:rFonts w:hint="eastAsia"/>
          <w:color w:val="auto"/>
        </w:rPr>
        <w:t>因种类繁多，各类建筑用能情况不同，较为复杂，同时由于目前绝大多数建筑未安装能耗监测系统，或能耗监测数据不全面，建筑能耗较难统计，总量较难估计</w:t>
      </w:r>
      <w:r>
        <w:rPr>
          <w:color w:val="auto"/>
        </w:rPr>
        <w:t>。</w:t>
      </w:r>
      <w:r>
        <w:rPr>
          <w:rFonts w:hint="eastAsia"/>
          <w:color w:val="auto"/>
        </w:rPr>
        <w:t>因此，区域节能评估主要从区域节能目标的完成情况和建筑能耗情况与能耗标准对比来评价。</w:t>
      </w:r>
    </w:p>
    <w:p>
      <w:pPr>
        <w:pStyle w:val="3"/>
        <w:spacing w:before="156" w:after="156"/>
        <w:rPr>
          <w:color w:val="auto"/>
        </w:rPr>
      </w:pPr>
      <w:bookmarkStart w:id="200" w:name="_Toc24753"/>
      <w:r>
        <w:rPr>
          <w:rFonts w:hint="eastAsia"/>
          <w:color w:val="auto"/>
        </w:rPr>
        <w:t>3.1民用建筑区域节能目标评估</w:t>
      </w:r>
      <w:bookmarkEnd w:id="200"/>
    </w:p>
    <w:p>
      <w:pPr>
        <w:pStyle w:val="4"/>
        <w:rPr>
          <w:color w:val="auto"/>
        </w:rPr>
      </w:pPr>
      <w:bookmarkStart w:id="201" w:name="_Toc29400"/>
      <w:r>
        <w:rPr>
          <w:rFonts w:hint="eastAsia"/>
          <w:color w:val="auto"/>
        </w:rPr>
        <w:t>3.1.1确定原则</w:t>
      </w:r>
      <w:bookmarkEnd w:id="201"/>
    </w:p>
    <w:p>
      <w:pPr>
        <w:rPr>
          <w:color w:val="auto"/>
        </w:rPr>
      </w:pPr>
      <w:r>
        <w:rPr>
          <w:rFonts w:hint="eastAsia"/>
          <w:color w:val="auto"/>
        </w:rPr>
        <w:t>三亚市民用建筑区域节能目标主要以国家、海南以及三亚市各类规划提出的目标为准。</w:t>
      </w:r>
    </w:p>
    <w:p>
      <w:pPr>
        <w:pStyle w:val="4"/>
        <w:rPr>
          <w:color w:val="auto"/>
        </w:rPr>
      </w:pPr>
      <w:bookmarkStart w:id="202" w:name="_Toc16144"/>
      <w:r>
        <w:rPr>
          <w:color w:val="auto"/>
        </w:rPr>
        <w:t>3.1.2</w:t>
      </w:r>
      <w:r>
        <w:rPr>
          <w:rFonts w:hint="eastAsia"/>
          <w:color w:val="auto"/>
        </w:rPr>
        <w:t>区域规划目标</w:t>
      </w:r>
      <w:bookmarkEnd w:id="202"/>
    </w:p>
    <w:p>
      <w:pPr>
        <w:rPr>
          <w:color w:val="auto"/>
        </w:rPr>
      </w:pPr>
      <w:r>
        <w:rPr>
          <w:rFonts w:hint="eastAsia"/>
          <w:color w:val="auto"/>
        </w:rPr>
        <w:t>（1）</w:t>
      </w:r>
      <w:r>
        <w:rPr>
          <w:color w:val="auto"/>
        </w:rPr>
        <w:t>《</w:t>
      </w:r>
      <w:r>
        <w:rPr>
          <w:rFonts w:hint="eastAsia"/>
          <w:color w:val="auto"/>
        </w:rPr>
        <w:t>“</w:t>
      </w:r>
      <w:r>
        <w:rPr>
          <w:color w:val="auto"/>
        </w:rPr>
        <w:t>十三五</w:t>
      </w:r>
      <w:r>
        <w:rPr>
          <w:rFonts w:hint="eastAsia"/>
          <w:color w:val="auto"/>
        </w:rPr>
        <w:t>”</w:t>
      </w:r>
      <w:r>
        <w:rPr>
          <w:color w:val="auto"/>
        </w:rPr>
        <w:t>节能减排综合工作方案》</w:t>
      </w:r>
    </w:p>
    <w:p>
      <w:pPr>
        <w:rPr>
          <w:color w:val="auto"/>
        </w:rPr>
      </w:pPr>
      <w:r>
        <w:rPr>
          <w:color w:val="auto"/>
        </w:rPr>
        <w:t>根据国务院《</w:t>
      </w:r>
      <w:r>
        <w:rPr>
          <w:rFonts w:hint="eastAsia"/>
          <w:color w:val="auto"/>
        </w:rPr>
        <w:t>“</w:t>
      </w:r>
      <w:r>
        <w:rPr>
          <w:color w:val="auto"/>
        </w:rPr>
        <w:t>十三五</w:t>
      </w:r>
      <w:r>
        <w:rPr>
          <w:rFonts w:hint="eastAsia"/>
          <w:color w:val="auto"/>
        </w:rPr>
        <w:t>”</w:t>
      </w:r>
      <w:r>
        <w:rPr>
          <w:color w:val="auto"/>
        </w:rPr>
        <w:t>节能减排综合工作方案》中要求：要落实节约资源和保护环境基本国策，以提高能源利用效率和改善生态环境质量为目标，以推进供给侧结构性改革和实施创新驱动发展战略为动力，坚持政府主导、企业主体、市场驱动、社会参与，加快建设资源节约型、环境友好型社会。到2020年，全国万元国内生产总值能耗比2015年下降15%，能源消费总量控制在50亿吨标准煤以内。</w:t>
      </w:r>
    </w:p>
    <w:p>
      <w:pPr>
        <w:rPr>
          <w:color w:val="auto"/>
        </w:rPr>
      </w:pPr>
      <w:r>
        <w:rPr>
          <w:rFonts w:hint="eastAsia"/>
          <w:color w:val="auto"/>
        </w:rPr>
        <w:t>（2）《</w:t>
      </w:r>
      <w:r>
        <w:rPr>
          <w:color w:val="auto"/>
        </w:rPr>
        <w:t>海南省</w:t>
      </w:r>
      <w:r>
        <w:rPr>
          <w:rFonts w:hint="eastAsia"/>
          <w:color w:val="auto"/>
        </w:rPr>
        <w:t>“</w:t>
      </w:r>
      <w:r>
        <w:rPr>
          <w:color w:val="auto"/>
        </w:rPr>
        <w:t>十三五</w:t>
      </w:r>
      <w:r>
        <w:rPr>
          <w:rFonts w:hint="eastAsia"/>
          <w:color w:val="auto"/>
        </w:rPr>
        <w:t>”</w:t>
      </w:r>
      <w:r>
        <w:rPr>
          <w:color w:val="auto"/>
        </w:rPr>
        <w:t>节能减排综合工作实施方案</w:t>
      </w:r>
      <w:r>
        <w:rPr>
          <w:rFonts w:hint="eastAsia"/>
          <w:color w:val="auto"/>
        </w:rPr>
        <w:t>》</w:t>
      </w:r>
    </w:p>
    <w:p>
      <w:pPr>
        <w:rPr>
          <w:color w:val="auto"/>
        </w:rPr>
      </w:pPr>
      <w:r>
        <w:rPr>
          <w:color w:val="auto"/>
        </w:rPr>
        <w:t>根据</w:t>
      </w:r>
      <w:r>
        <w:rPr>
          <w:rFonts w:hint="eastAsia"/>
          <w:color w:val="auto"/>
        </w:rPr>
        <w:t>《</w:t>
      </w:r>
      <w:r>
        <w:rPr>
          <w:color w:val="auto"/>
        </w:rPr>
        <w:t>海南省</w:t>
      </w:r>
      <w:r>
        <w:rPr>
          <w:rFonts w:hint="eastAsia"/>
          <w:color w:val="auto"/>
        </w:rPr>
        <w:t>“</w:t>
      </w:r>
      <w:r>
        <w:rPr>
          <w:color w:val="auto"/>
        </w:rPr>
        <w:t>十三五</w:t>
      </w:r>
      <w:r>
        <w:rPr>
          <w:rFonts w:hint="eastAsia"/>
          <w:color w:val="auto"/>
        </w:rPr>
        <w:t>”</w:t>
      </w:r>
      <w:r>
        <w:rPr>
          <w:color w:val="auto"/>
        </w:rPr>
        <w:t>节能减排综合工作实施方案的通知</w:t>
      </w:r>
      <w:r>
        <w:rPr>
          <w:rFonts w:hint="eastAsia"/>
          <w:color w:val="auto"/>
        </w:rPr>
        <w:t>》</w:t>
      </w:r>
      <w:r>
        <w:rPr>
          <w:color w:val="auto"/>
        </w:rPr>
        <w:t>琼府〔2017〕51号</w:t>
      </w:r>
      <w:r>
        <w:rPr>
          <w:rFonts w:hint="eastAsia"/>
          <w:color w:val="auto"/>
        </w:rPr>
        <w:t>，要求如下：</w:t>
      </w:r>
    </w:p>
    <w:p>
      <w:pPr>
        <w:rPr>
          <w:color w:val="auto"/>
        </w:rPr>
      </w:pPr>
      <w:r>
        <w:rPr>
          <w:rFonts w:hint="eastAsia"/>
          <w:color w:val="auto"/>
        </w:rPr>
        <w:t>到2020年，全省万元国内生产总值能耗比2015年下降10%，能源消费总量控制在2598万吨标准煤以内。</w:t>
      </w:r>
    </w:p>
    <w:p>
      <w:pPr>
        <w:rPr>
          <w:color w:val="auto"/>
        </w:rPr>
      </w:pPr>
      <w:r>
        <w:rPr>
          <w:rFonts w:hint="eastAsia"/>
          <w:color w:val="auto"/>
        </w:rPr>
        <w:t>强化建筑节能。强化标准约束，确保新建建筑设计阶段和施工阶段当期节能强制性标准执行率达到100%。逐步扩大能耗监测平台监测建筑数量，到2020年所有新建大型公共建筑及重点用能建筑均强制建立用能监测系统。“十三五”基本完成既有大型公共建筑节能改造，建筑能效提高20%以上，鼓励采用合同能源管理等市场化手段推进建筑节能改造。有序推进建筑产业现代化转型升级，自2018年起，政府投资的民用建筑、市政基础设施工程等新建项目应率先试点采用建筑产业现代化技术和产品。大力推广“装配式钢(轻钢)结构、装配式钢-混凝土结构”等钢结构体系的应用，逐步提高装配式建筑占新建建筑比例。自2017年7月1日起，全省新建商品住宅全部实行全装修，实现成品交付。加快绿色建筑发展，推进太阳能、空气热能、浅层地热能等的应用。</w:t>
      </w:r>
    </w:p>
    <w:p>
      <w:pPr>
        <w:rPr>
          <w:color w:val="auto"/>
        </w:rPr>
      </w:pPr>
      <w:r>
        <w:rPr>
          <w:rFonts w:hint="eastAsia"/>
          <w:color w:val="auto"/>
        </w:rPr>
        <w:t>绿色建筑工程。扩大绿色建筑标准的强制执行范围，住宅建筑全面执行绿色建筑标准，单体建筑面积超过</w:t>
      </w:r>
      <w:r>
        <w:rPr>
          <w:color w:val="auto"/>
        </w:rPr>
        <w:t>3000</w:t>
      </w:r>
      <w:r>
        <w:rPr>
          <w:rFonts w:hint="eastAsia"/>
          <w:color w:val="auto"/>
        </w:rPr>
        <w:t>平方米的政府投资的公益性建筑和单体建筑面积超过2万平方米的公共建筑全面执行绿色建筑标准，到2020年城镇绿色建筑面积占新建建筑面积比例达到50%。</w:t>
      </w:r>
    </w:p>
    <w:p>
      <w:pPr>
        <w:spacing w:line="578" w:lineRule="exact"/>
        <w:jc w:val="left"/>
        <w:rPr>
          <w:color w:val="auto"/>
        </w:rPr>
      </w:pPr>
      <w:r>
        <w:rPr>
          <w:color w:val="auto"/>
        </w:rPr>
        <w:t>太阳能利用工程。推动太阳能光伏建筑一体化应用，推进一批光伏并网示范项目和试点地区建设，加快落实光伏并网的无障碍申报措施。鼓励具备安装条件的住宅建筑以及医院、学校、</w:t>
      </w:r>
      <w:r>
        <w:rPr>
          <w:rFonts w:hint="eastAsia"/>
          <w:color w:val="auto"/>
        </w:rPr>
        <w:t>旅馆</w:t>
      </w:r>
      <w:r>
        <w:rPr>
          <w:color w:val="auto"/>
        </w:rPr>
        <w:t>、宾馆等公共建筑安装太阳能光热或光伏系统。</w:t>
      </w:r>
    </w:p>
    <w:p>
      <w:pPr>
        <w:pStyle w:val="10"/>
        <w:spacing w:before="312"/>
        <w:rPr>
          <w:rFonts w:ascii="Times New Roman" w:hAnsi="Times New Roman"/>
          <w:color w:val="auto"/>
        </w:rPr>
      </w:pPr>
      <w:r>
        <w:rPr>
          <w:rFonts w:ascii="Times New Roman" w:hAnsi="Times New Roman"/>
          <w:color w:val="auto"/>
        </w:rPr>
        <w:t>表2-5</w:t>
      </w:r>
      <w:r>
        <w:rPr>
          <w:rFonts w:hint="eastAsia" w:ascii="Times New Roman" w:hAnsi="Times New Roman"/>
          <w:color w:val="auto"/>
        </w:rPr>
        <w:t xml:space="preserve"> </w:t>
      </w:r>
      <w:r>
        <w:rPr>
          <w:rFonts w:ascii="Times New Roman" w:hAnsi="Times New Roman"/>
          <w:color w:val="auto"/>
        </w:rPr>
        <w:t xml:space="preserve"> </w:t>
      </w:r>
      <w:r>
        <w:rPr>
          <w:rFonts w:hint="eastAsia" w:ascii="Times New Roman" w:hAnsi="Times New Roman"/>
          <w:color w:val="auto"/>
        </w:rPr>
        <w:t>“</w:t>
      </w:r>
      <w:r>
        <w:rPr>
          <w:rFonts w:ascii="Times New Roman" w:hAnsi="Times New Roman"/>
          <w:color w:val="auto"/>
        </w:rPr>
        <w:t>十三五</w:t>
      </w:r>
      <w:r>
        <w:rPr>
          <w:rFonts w:hint="eastAsia" w:ascii="Times New Roman" w:hAnsi="Times New Roman"/>
          <w:color w:val="auto"/>
        </w:rPr>
        <w:t>”</w:t>
      </w:r>
      <w:r>
        <w:rPr>
          <w:rFonts w:ascii="Times New Roman" w:hAnsi="Times New Roman"/>
          <w:color w:val="auto"/>
        </w:rPr>
        <w:t>三亚能耗总量和强度</w:t>
      </w:r>
      <w:r>
        <w:rPr>
          <w:rFonts w:hint="eastAsia" w:ascii="Times New Roman" w:hAnsi="Times New Roman"/>
          <w:color w:val="auto"/>
        </w:rPr>
        <w:t>“</w:t>
      </w:r>
      <w:r>
        <w:rPr>
          <w:rFonts w:ascii="Times New Roman" w:hAnsi="Times New Roman"/>
          <w:color w:val="auto"/>
        </w:rPr>
        <w:t>双控</w:t>
      </w:r>
      <w:r>
        <w:rPr>
          <w:rFonts w:hint="eastAsia" w:ascii="Times New Roman" w:hAnsi="Times New Roman"/>
          <w:color w:val="auto"/>
        </w:rPr>
        <w:t>”</w:t>
      </w:r>
      <w:r>
        <w:rPr>
          <w:rFonts w:ascii="Times New Roman" w:hAnsi="Times New Roman"/>
          <w:color w:val="auto"/>
        </w:rPr>
        <w:t>目标</w:t>
      </w:r>
    </w:p>
    <w:tbl>
      <w:tblPr>
        <w:tblStyle w:val="39"/>
        <w:tblW w:w="7770" w:type="dxa"/>
        <w:jc w:val="center"/>
        <w:tblInd w:w="0" w:type="dxa"/>
        <w:tblLayout w:type="fixed"/>
        <w:tblCellMar>
          <w:top w:w="0" w:type="dxa"/>
          <w:left w:w="108" w:type="dxa"/>
          <w:bottom w:w="0" w:type="dxa"/>
          <w:right w:w="108" w:type="dxa"/>
        </w:tblCellMar>
      </w:tblPr>
      <w:tblGrid>
        <w:gridCol w:w="1080"/>
        <w:gridCol w:w="2055"/>
        <w:gridCol w:w="2130"/>
        <w:gridCol w:w="2505"/>
      </w:tblGrid>
      <w:tr>
        <w:tblPrEx>
          <w:tblLayout w:type="fixed"/>
          <w:tblCellMar>
            <w:top w:w="0" w:type="dxa"/>
            <w:left w:w="108" w:type="dxa"/>
            <w:bottom w:w="0" w:type="dxa"/>
            <w:right w:w="108" w:type="dxa"/>
          </w:tblCellMar>
        </w:tblPrEx>
        <w:trPr>
          <w:trHeight w:val="85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pStyle w:val="12"/>
              <w:rPr>
                <w:rFonts w:ascii="Times New Roman" w:hAnsi="Times New Roman"/>
                <w:b/>
                <w:bCs/>
                <w:color w:val="auto"/>
              </w:rPr>
            </w:pPr>
            <w:r>
              <w:rPr>
                <w:rFonts w:ascii="Times New Roman" w:hAnsi="Times New Roman"/>
                <w:b/>
                <w:bCs/>
                <w:color w:val="auto"/>
              </w:rPr>
              <w:t>市县</w:t>
            </w:r>
          </w:p>
        </w:tc>
        <w:tc>
          <w:tcPr>
            <w:tcW w:w="2055" w:type="dxa"/>
            <w:tcBorders>
              <w:top w:val="single" w:color="000000" w:sz="4" w:space="0"/>
              <w:left w:val="single" w:color="000000" w:sz="4" w:space="0"/>
              <w:bottom w:val="single" w:color="000000" w:sz="4" w:space="0"/>
              <w:right w:val="single" w:color="000000" w:sz="4" w:space="0"/>
            </w:tcBorders>
            <w:vAlign w:val="center"/>
          </w:tcPr>
          <w:p>
            <w:pPr>
              <w:pStyle w:val="12"/>
              <w:rPr>
                <w:rFonts w:ascii="Times New Roman" w:hAnsi="Times New Roman"/>
                <w:b/>
                <w:bCs/>
                <w:color w:val="auto"/>
              </w:rPr>
            </w:pPr>
            <w:r>
              <w:rPr>
                <w:rFonts w:ascii="Times New Roman" w:hAnsi="Times New Roman"/>
                <w:b/>
                <w:bCs/>
                <w:color w:val="auto"/>
              </w:rPr>
              <w:t>“十三五”能耗强度降低目标（%）</w:t>
            </w:r>
          </w:p>
        </w:tc>
        <w:tc>
          <w:tcPr>
            <w:tcW w:w="2130" w:type="dxa"/>
            <w:tcBorders>
              <w:top w:val="single" w:color="000000" w:sz="4" w:space="0"/>
              <w:left w:val="single" w:color="000000" w:sz="4" w:space="0"/>
              <w:bottom w:val="single" w:color="000000" w:sz="4" w:space="0"/>
              <w:right w:val="single" w:color="000000" w:sz="4" w:space="0"/>
            </w:tcBorders>
            <w:vAlign w:val="center"/>
          </w:tcPr>
          <w:p>
            <w:pPr>
              <w:pStyle w:val="12"/>
              <w:rPr>
                <w:rFonts w:ascii="Times New Roman" w:hAnsi="Times New Roman"/>
                <w:b/>
                <w:bCs/>
                <w:color w:val="auto"/>
              </w:rPr>
            </w:pPr>
            <w:r>
              <w:rPr>
                <w:rFonts w:ascii="Times New Roman" w:hAnsi="Times New Roman"/>
                <w:b/>
                <w:bCs/>
                <w:color w:val="auto"/>
              </w:rPr>
              <w:t>2015年能源消费</w:t>
            </w:r>
          </w:p>
          <w:p>
            <w:pPr>
              <w:pStyle w:val="12"/>
              <w:rPr>
                <w:rFonts w:ascii="Times New Roman" w:hAnsi="Times New Roman"/>
                <w:b/>
                <w:bCs/>
                <w:color w:val="auto"/>
              </w:rPr>
            </w:pPr>
            <w:r>
              <w:rPr>
                <w:rFonts w:ascii="Times New Roman" w:hAnsi="Times New Roman"/>
                <w:b/>
                <w:bCs/>
                <w:color w:val="auto"/>
              </w:rPr>
              <w:t>总量（吨标准煤）</w:t>
            </w:r>
          </w:p>
        </w:tc>
        <w:tc>
          <w:tcPr>
            <w:tcW w:w="2505" w:type="dxa"/>
            <w:tcBorders>
              <w:top w:val="single" w:color="000000" w:sz="4" w:space="0"/>
              <w:left w:val="single" w:color="000000" w:sz="4" w:space="0"/>
              <w:bottom w:val="single" w:color="000000" w:sz="4" w:space="0"/>
              <w:right w:val="single" w:color="000000" w:sz="4" w:space="0"/>
            </w:tcBorders>
            <w:vAlign w:val="center"/>
          </w:tcPr>
          <w:p>
            <w:pPr>
              <w:pStyle w:val="12"/>
              <w:rPr>
                <w:rFonts w:ascii="Times New Roman" w:hAnsi="Times New Roman"/>
                <w:b/>
                <w:bCs/>
                <w:color w:val="auto"/>
              </w:rPr>
            </w:pPr>
            <w:r>
              <w:rPr>
                <w:rFonts w:ascii="Times New Roman" w:hAnsi="Times New Roman"/>
                <w:b/>
                <w:bCs/>
                <w:color w:val="auto"/>
              </w:rPr>
              <w:t>“十三五”能耗增量控制</w:t>
            </w:r>
          </w:p>
          <w:p>
            <w:pPr>
              <w:pStyle w:val="12"/>
              <w:rPr>
                <w:rFonts w:ascii="Times New Roman" w:hAnsi="Times New Roman"/>
                <w:b/>
                <w:bCs/>
                <w:color w:val="auto"/>
              </w:rPr>
            </w:pPr>
            <w:r>
              <w:rPr>
                <w:rFonts w:ascii="Times New Roman" w:hAnsi="Times New Roman"/>
                <w:b/>
                <w:bCs/>
                <w:color w:val="auto"/>
              </w:rPr>
              <w:t>目标（吨标准煤）</w:t>
            </w:r>
          </w:p>
        </w:tc>
      </w:tr>
      <w:tr>
        <w:tblPrEx>
          <w:tblLayout w:type="fixed"/>
          <w:tblCellMar>
            <w:top w:w="0" w:type="dxa"/>
            <w:left w:w="108" w:type="dxa"/>
            <w:bottom w:w="0" w:type="dxa"/>
            <w:right w:w="108" w:type="dxa"/>
          </w:tblCellMar>
        </w:tblPrEx>
        <w:trPr>
          <w:trHeight w:val="539" w:hRule="exac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pStyle w:val="12"/>
              <w:rPr>
                <w:rFonts w:ascii="Times New Roman" w:hAnsi="Times New Roman"/>
                <w:color w:val="auto"/>
              </w:rPr>
            </w:pPr>
            <w:r>
              <w:rPr>
                <w:rFonts w:ascii="Times New Roman" w:hAnsi="Times New Roman"/>
                <w:color w:val="auto"/>
              </w:rPr>
              <w:t>三亚</w:t>
            </w:r>
          </w:p>
        </w:tc>
        <w:tc>
          <w:tcPr>
            <w:tcW w:w="2055" w:type="dxa"/>
            <w:tcBorders>
              <w:top w:val="single" w:color="000000" w:sz="4" w:space="0"/>
              <w:left w:val="single" w:color="000000" w:sz="4" w:space="0"/>
              <w:bottom w:val="single" w:color="000000" w:sz="4" w:space="0"/>
              <w:right w:val="single" w:color="000000" w:sz="4" w:space="0"/>
            </w:tcBorders>
            <w:vAlign w:val="center"/>
          </w:tcPr>
          <w:p>
            <w:pPr>
              <w:pStyle w:val="12"/>
              <w:rPr>
                <w:rFonts w:ascii="Times New Roman" w:hAnsi="Times New Roman"/>
                <w:color w:val="auto"/>
              </w:rPr>
            </w:pPr>
            <w:r>
              <w:rPr>
                <w:rFonts w:ascii="Times New Roman" w:hAnsi="Times New Roman"/>
                <w:color w:val="auto"/>
              </w:rPr>
              <w:t>11.0</w:t>
            </w:r>
          </w:p>
        </w:tc>
        <w:tc>
          <w:tcPr>
            <w:tcW w:w="2130" w:type="dxa"/>
            <w:tcBorders>
              <w:top w:val="single" w:color="000000" w:sz="4" w:space="0"/>
              <w:left w:val="single" w:color="000000" w:sz="4" w:space="0"/>
              <w:bottom w:val="single" w:color="000000" w:sz="4" w:space="0"/>
              <w:right w:val="single" w:color="000000" w:sz="4" w:space="0"/>
            </w:tcBorders>
            <w:vAlign w:val="center"/>
          </w:tcPr>
          <w:p>
            <w:pPr>
              <w:pStyle w:val="12"/>
              <w:rPr>
                <w:rFonts w:ascii="Times New Roman" w:hAnsi="Times New Roman"/>
                <w:color w:val="auto"/>
              </w:rPr>
            </w:pPr>
            <w:r>
              <w:rPr>
                <w:rFonts w:ascii="Times New Roman" w:hAnsi="Times New Roman"/>
                <w:color w:val="auto"/>
              </w:rPr>
              <w:t>1539995</w:t>
            </w:r>
          </w:p>
        </w:tc>
        <w:tc>
          <w:tcPr>
            <w:tcW w:w="2505" w:type="dxa"/>
            <w:tcBorders>
              <w:top w:val="single" w:color="000000" w:sz="4" w:space="0"/>
              <w:left w:val="single" w:color="000000" w:sz="4" w:space="0"/>
              <w:bottom w:val="single" w:color="000000" w:sz="4" w:space="0"/>
              <w:right w:val="single" w:color="000000" w:sz="4" w:space="0"/>
            </w:tcBorders>
            <w:vAlign w:val="center"/>
          </w:tcPr>
          <w:p>
            <w:pPr>
              <w:pStyle w:val="12"/>
              <w:rPr>
                <w:rFonts w:ascii="Times New Roman" w:hAnsi="Times New Roman"/>
                <w:color w:val="auto"/>
              </w:rPr>
            </w:pPr>
            <w:r>
              <w:rPr>
                <w:rFonts w:ascii="Times New Roman" w:hAnsi="Times New Roman"/>
                <w:color w:val="auto"/>
              </w:rPr>
              <w:t>425470</w:t>
            </w:r>
          </w:p>
        </w:tc>
      </w:tr>
    </w:tbl>
    <w:p>
      <w:pPr>
        <w:pStyle w:val="23"/>
        <w:ind w:firstLine="360"/>
        <w:rPr>
          <w:color w:val="auto"/>
        </w:rPr>
      </w:pPr>
      <w:r>
        <w:rPr>
          <w:rFonts w:hint="eastAsia"/>
          <w:color w:val="auto"/>
        </w:rPr>
        <w:t>数据来源：《</w:t>
      </w:r>
      <w:r>
        <w:rPr>
          <w:color w:val="auto"/>
        </w:rPr>
        <w:t>海南省</w:t>
      </w:r>
      <w:r>
        <w:rPr>
          <w:rFonts w:hint="eastAsia"/>
          <w:color w:val="auto"/>
        </w:rPr>
        <w:t>“</w:t>
      </w:r>
      <w:r>
        <w:rPr>
          <w:color w:val="auto"/>
        </w:rPr>
        <w:t>十三五</w:t>
      </w:r>
      <w:r>
        <w:rPr>
          <w:rFonts w:hint="eastAsia"/>
          <w:color w:val="auto"/>
        </w:rPr>
        <w:t>”</w:t>
      </w:r>
      <w:r>
        <w:rPr>
          <w:color w:val="auto"/>
        </w:rPr>
        <w:t>节能减排综合工作实施方案</w:t>
      </w:r>
      <w:r>
        <w:rPr>
          <w:rFonts w:hint="eastAsia"/>
          <w:color w:val="auto"/>
        </w:rPr>
        <w:t>》</w:t>
      </w:r>
    </w:p>
    <w:p>
      <w:pPr>
        <w:pStyle w:val="10"/>
        <w:spacing w:before="312"/>
        <w:rPr>
          <w:color w:val="auto"/>
        </w:rPr>
      </w:pPr>
      <w:r>
        <w:rPr>
          <w:color w:val="auto"/>
        </w:rPr>
        <w:t>表</w:t>
      </w:r>
      <w:r>
        <w:rPr>
          <w:rFonts w:hint="eastAsia"/>
          <w:color w:val="auto"/>
        </w:rPr>
        <w:t>2-6</w:t>
      </w:r>
      <w:r>
        <w:rPr>
          <w:color w:val="auto"/>
        </w:rPr>
        <w:t xml:space="preserve"> </w:t>
      </w:r>
      <w:r>
        <w:rPr>
          <w:rFonts w:hint="eastAsia"/>
          <w:color w:val="auto"/>
        </w:rPr>
        <w:t>“十三五”三亚公共机构节约能源资源强度目标</w:t>
      </w:r>
    </w:p>
    <w:tbl>
      <w:tblPr>
        <w:tblStyle w:val="39"/>
        <w:tblW w:w="78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2113"/>
        <w:gridCol w:w="2098"/>
        <w:gridCol w:w="1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exact"/>
          <w:tblHeader/>
          <w:jc w:val="center"/>
        </w:trPr>
        <w:tc>
          <w:tcPr>
            <w:tcW w:w="1704" w:type="dxa"/>
            <w:vAlign w:val="center"/>
          </w:tcPr>
          <w:p>
            <w:pPr>
              <w:pStyle w:val="12"/>
              <w:rPr>
                <w:rFonts w:ascii="Times New Roman" w:hAnsi="Times New Roman"/>
                <w:b/>
                <w:bCs/>
                <w:color w:val="auto"/>
              </w:rPr>
            </w:pPr>
            <w:r>
              <w:rPr>
                <w:rFonts w:ascii="Times New Roman" w:hAnsi="Times New Roman"/>
                <w:b/>
                <w:bCs/>
                <w:color w:val="auto"/>
              </w:rPr>
              <w:t>市县/单位</w:t>
            </w:r>
          </w:p>
        </w:tc>
        <w:tc>
          <w:tcPr>
            <w:tcW w:w="2113" w:type="dxa"/>
            <w:vAlign w:val="center"/>
          </w:tcPr>
          <w:p>
            <w:pPr>
              <w:pStyle w:val="12"/>
              <w:rPr>
                <w:rFonts w:ascii="Times New Roman" w:hAnsi="Times New Roman"/>
                <w:b/>
                <w:bCs/>
                <w:color w:val="auto"/>
              </w:rPr>
            </w:pPr>
            <w:r>
              <w:rPr>
                <w:rFonts w:ascii="Times New Roman" w:hAnsi="Times New Roman"/>
                <w:b/>
                <w:bCs/>
                <w:color w:val="auto"/>
              </w:rPr>
              <w:t>单位建筑面积能耗</w:t>
            </w:r>
          </w:p>
          <w:p>
            <w:pPr>
              <w:pStyle w:val="12"/>
              <w:rPr>
                <w:rFonts w:ascii="Times New Roman" w:hAnsi="Times New Roman"/>
                <w:b/>
                <w:bCs/>
                <w:color w:val="auto"/>
              </w:rPr>
            </w:pPr>
            <w:r>
              <w:rPr>
                <w:rFonts w:ascii="Times New Roman" w:hAnsi="Times New Roman"/>
                <w:b/>
                <w:bCs/>
                <w:color w:val="auto"/>
              </w:rPr>
              <w:t>下降指标（%）</w:t>
            </w:r>
          </w:p>
        </w:tc>
        <w:tc>
          <w:tcPr>
            <w:tcW w:w="2098" w:type="dxa"/>
            <w:vAlign w:val="center"/>
          </w:tcPr>
          <w:p>
            <w:pPr>
              <w:pStyle w:val="12"/>
              <w:rPr>
                <w:rFonts w:ascii="Times New Roman" w:hAnsi="Times New Roman"/>
                <w:b/>
                <w:bCs/>
                <w:color w:val="auto"/>
              </w:rPr>
            </w:pPr>
            <w:r>
              <w:rPr>
                <w:rFonts w:ascii="Times New Roman" w:hAnsi="Times New Roman"/>
                <w:b/>
                <w:bCs/>
                <w:color w:val="auto"/>
              </w:rPr>
              <w:t>人均综合能耗</w:t>
            </w:r>
          </w:p>
          <w:p>
            <w:pPr>
              <w:pStyle w:val="12"/>
              <w:rPr>
                <w:rFonts w:ascii="Times New Roman" w:hAnsi="Times New Roman"/>
                <w:b/>
                <w:bCs/>
                <w:color w:val="auto"/>
              </w:rPr>
            </w:pPr>
            <w:r>
              <w:rPr>
                <w:rFonts w:ascii="Times New Roman" w:hAnsi="Times New Roman"/>
                <w:b/>
                <w:bCs/>
                <w:color w:val="auto"/>
              </w:rPr>
              <w:t>下降指标（%）</w:t>
            </w:r>
          </w:p>
        </w:tc>
        <w:tc>
          <w:tcPr>
            <w:tcW w:w="1939" w:type="dxa"/>
            <w:vAlign w:val="center"/>
          </w:tcPr>
          <w:p>
            <w:pPr>
              <w:pStyle w:val="12"/>
              <w:rPr>
                <w:rFonts w:ascii="Times New Roman" w:hAnsi="Times New Roman"/>
                <w:b/>
                <w:bCs/>
                <w:color w:val="auto"/>
              </w:rPr>
            </w:pPr>
            <w:r>
              <w:rPr>
                <w:rFonts w:ascii="Times New Roman" w:hAnsi="Times New Roman"/>
                <w:b/>
                <w:bCs/>
                <w:color w:val="auto"/>
              </w:rPr>
              <w:t>人均用水量</w:t>
            </w:r>
          </w:p>
          <w:p>
            <w:pPr>
              <w:pStyle w:val="12"/>
              <w:rPr>
                <w:rFonts w:ascii="Times New Roman" w:hAnsi="Times New Roman"/>
                <w:b/>
                <w:bCs/>
                <w:color w:val="auto"/>
              </w:rPr>
            </w:pPr>
            <w:r>
              <w:rPr>
                <w:rFonts w:ascii="Times New Roman" w:hAnsi="Times New Roman"/>
                <w:b/>
                <w:bCs/>
                <w:color w:val="auto"/>
              </w:rPr>
              <w:t>下降指标（%）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704" w:type="dxa"/>
            <w:vAlign w:val="center"/>
          </w:tcPr>
          <w:p>
            <w:pPr>
              <w:pStyle w:val="12"/>
              <w:rPr>
                <w:rFonts w:ascii="Times New Roman" w:hAnsi="Times New Roman"/>
                <w:color w:val="auto"/>
              </w:rPr>
            </w:pPr>
            <w:r>
              <w:rPr>
                <w:rFonts w:ascii="Times New Roman" w:hAnsi="Times New Roman"/>
                <w:color w:val="auto"/>
              </w:rPr>
              <w:t>三亚</w:t>
            </w:r>
          </w:p>
        </w:tc>
        <w:tc>
          <w:tcPr>
            <w:tcW w:w="2113" w:type="dxa"/>
            <w:vAlign w:val="center"/>
          </w:tcPr>
          <w:p>
            <w:pPr>
              <w:pStyle w:val="12"/>
              <w:rPr>
                <w:rFonts w:ascii="Times New Roman" w:hAnsi="Times New Roman"/>
                <w:color w:val="auto"/>
              </w:rPr>
            </w:pPr>
            <w:r>
              <w:rPr>
                <w:rFonts w:ascii="Times New Roman" w:hAnsi="Times New Roman"/>
                <w:color w:val="auto"/>
              </w:rPr>
              <w:t>9</w:t>
            </w:r>
          </w:p>
        </w:tc>
        <w:tc>
          <w:tcPr>
            <w:tcW w:w="2098" w:type="dxa"/>
            <w:vAlign w:val="center"/>
          </w:tcPr>
          <w:p>
            <w:pPr>
              <w:pStyle w:val="12"/>
              <w:rPr>
                <w:rFonts w:ascii="Times New Roman" w:hAnsi="Times New Roman"/>
                <w:color w:val="auto"/>
              </w:rPr>
            </w:pPr>
            <w:r>
              <w:rPr>
                <w:rFonts w:ascii="Times New Roman" w:hAnsi="Times New Roman"/>
                <w:color w:val="auto"/>
              </w:rPr>
              <w:t>11</w:t>
            </w:r>
          </w:p>
        </w:tc>
        <w:tc>
          <w:tcPr>
            <w:tcW w:w="1939" w:type="dxa"/>
            <w:vAlign w:val="center"/>
          </w:tcPr>
          <w:p>
            <w:pPr>
              <w:pStyle w:val="12"/>
              <w:rPr>
                <w:rFonts w:ascii="Times New Roman" w:hAnsi="Times New Roman"/>
                <w:color w:val="auto"/>
              </w:rPr>
            </w:pPr>
            <w:r>
              <w:rPr>
                <w:rFonts w:ascii="Times New Roman" w:hAnsi="Times New Roman"/>
                <w:color w:val="auto"/>
              </w:rPr>
              <w:t>15</w:t>
            </w:r>
          </w:p>
        </w:tc>
      </w:tr>
    </w:tbl>
    <w:p>
      <w:pPr>
        <w:pStyle w:val="23"/>
        <w:ind w:firstLine="360"/>
        <w:rPr>
          <w:color w:val="auto"/>
        </w:rPr>
      </w:pPr>
      <w:r>
        <w:rPr>
          <w:rFonts w:hint="eastAsia"/>
          <w:color w:val="auto"/>
        </w:rPr>
        <w:t>数据来源：《</w:t>
      </w:r>
      <w:r>
        <w:rPr>
          <w:color w:val="auto"/>
        </w:rPr>
        <w:t>海南省</w:t>
      </w:r>
      <w:r>
        <w:rPr>
          <w:rFonts w:hint="eastAsia"/>
          <w:color w:val="auto"/>
        </w:rPr>
        <w:t>“</w:t>
      </w:r>
      <w:r>
        <w:rPr>
          <w:color w:val="auto"/>
        </w:rPr>
        <w:t>十三五</w:t>
      </w:r>
      <w:r>
        <w:rPr>
          <w:rFonts w:hint="eastAsia"/>
          <w:color w:val="auto"/>
        </w:rPr>
        <w:t>”</w:t>
      </w:r>
      <w:r>
        <w:rPr>
          <w:color w:val="auto"/>
        </w:rPr>
        <w:t>节能减排综合工作实施方案</w:t>
      </w:r>
      <w:r>
        <w:rPr>
          <w:rFonts w:hint="eastAsia"/>
          <w:color w:val="auto"/>
        </w:rPr>
        <w:t>》</w:t>
      </w:r>
    </w:p>
    <w:p>
      <w:pPr>
        <w:pStyle w:val="23"/>
        <w:ind w:firstLine="360"/>
        <w:rPr>
          <w:color w:val="auto"/>
        </w:rPr>
      </w:pPr>
    </w:p>
    <w:p>
      <w:pPr>
        <w:rPr>
          <w:color w:val="auto"/>
        </w:rPr>
      </w:pPr>
      <w:r>
        <w:rPr>
          <w:rFonts w:hint="eastAsia"/>
          <w:color w:val="auto"/>
        </w:rPr>
        <w:t>（3）《海南省建筑节能与建设科技“十三五”发展规划》</w:t>
      </w:r>
    </w:p>
    <w:p>
      <w:pPr>
        <w:rPr>
          <w:color w:val="auto"/>
        </w:rPr>
      </w:pPr>
      <w:r>
        <w:rPr>
          <w:rFonts w:hint="eastAsia"/>
          <w:color w:val="auto"/>
        </w:rPr>
        <w:t>依据《海南省建筑节能与建设科技“十三五”发展规划》，提出2020年“保障新建建筑设计阶段和施工阶段当期节能强制性标准执行率达到100%。”</w:t>
      </w:r>
    </w:p>
    <w:p>
      <w:pPr>
        <w:rPr>
          <w:color w:val="auto"/>
        </w:rPr>
      </w:pPr>
      <w:r>
        <w:rPr>
          <w:rFonts w:hint="eastAsia"/>
          <w:color w:val="auto"/>
        </w:rPr>
        <w:t>（4）《海南省住房城乡建设事业“十三五”规划》（2016-2020年）</w:t>
      </w:r>
    </w:p>
    <w:p>
      <w:pPr>
        <w:pStyle w:val="10"/>
        <w:spacing w:before="0" w:beforeLines="0"/>
        <w:rPr>
          <w:color w:val="auto"/>
        </w:rPr>
      </w:pPr>
      <w:r>
        <w:rPr>
          <w:rFonts w:hint="eastAsia"/>
          <w:color w:val="auto"/>
        </w:rPr>
        <w:t>表2-7 海南省住房和城乡建设“十三五”时期主要规划指标</w:t>
      </w:r>
    </w:p>
    <w:tbl>
      <w:tblPr>
        <w:tblStyle w:val="39"/>
        <w:tblW w:w="73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6"/>
        <w:gridCol w:w="1137"/>
        <w:gridCol w:w="1134"/>
        <w:gridCol w:w="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388" w:type="dxa"/>
            <w:gridSpan w:val="4"/>
            <w:vAlign w:val="center"/>
          </w:tcPr>
          <w:p>
            <w:pPr>
              <w:pStyle w:val="12"/>
              <w:rPr>
                <w:rFonts w:ascii="Times New Roman" w:hAnsi="Times New Roman"/>
                <w:color w:val="auto"/>
              </w:rPr>
            </w:pPr>
            <w:r>
              <w:rPr>
                <w:rFonts w:ascii="Times New Roman" w:hAnsi="Times New Roman"/>
                <w:b/>
                <w:bCs/>
                <w:color w:val="auto"/>
              </w:rPr>
              <w:t>建筑节能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4216" w:type="dxa"/>
            <w:vAlign w:val="center"/>
          </w:tcPr>
          <w:p>
            <w:pPr>
              <w:pStyle w:val="12"/>
              <w:rPr>
                <w:rFonts w:ascii="Times New Roman" w:hAnsi="Times New Roman"/>
                <w:color w:val="auto"/>
              </w:rPr>
            </w:pPr>
            <w:r>
              <w:rPr>
                <w:rFonts w:ascii="Times New Roman" w:hAnsi="Times New Roman"/>
                <w:color w:val="auto"/>
              </w:rPr>
              <w:t>绿色建筑推广比例(%)</w:t>
            </w:r>
          </w:p>
        </w:tc>
        <w:tc>
          <w:tcPr>
            <w:tcW w:w="1137" w:type="dxa"/>
            <w:vAlign w:val="center"/>
          </w:tcPr>
          <w:p>
            <w:pPr>
              <w:pStyle w:val="12"/>
              <w:rPr>
                <w:rFonts w:ascii="Times New Roman" w:hAnsi="Times New Roman"/>
                <w:color w:val="auto"/>
              </w:rPr>
            </w:pPr>
            <w:r>
              <w:rPr>
                <w:rFonts w:ascii="Times New Roman" w:hAnsi="Times New Roman"/>
                <w:color w:val="auto"/>
              </w:rPr>
              <w:t>20</w:t>
            </w:r>
          </w:p>
        </w:tc>
        <w:tc>
          <w:tcPr>
            <w:tcW w:w="1134" w:type="dxa"/>
            <w:vAlign w:val="center"/>
          </w:tcPr>
          <w:p>
            <w:pPr>
              <w:pStyle w:val="12"/>
              <w:rPr>
                <w:rFonts w:ascii="Times New Roman" w:hAnsi="Times New Roman"/>
                <w:color w:val="auto"/>
              </w:rPr>
            </w:pPr>
            <w:r>
              <w:rPr>
                <w:rFonts w:ascii="Times New Roman" w:hAnsi="Times New Roman"/>
                <w:color w:val="auto"/>
              </w:rPr>
              <w:t>50</w:t>
            </w:r>
          </w:p>
        </w:tc>
        <w:tc>
          <w:tcPr>
            <w:tcW w:w="901" w:type="dxa"/>
            <w:vAlign w:val="center"/>
          </w:tcPr>
          <w:p>
            <w:pPr>
              <w:pStyle w:val="12"/>
              <w:rPr>
                <w:rFonts w:ascii="Times New Roman" w:hAnsi="Times New Roman"/>
                <w:color w:val="auto"/>
              </w:rPr>
            </w:pPr>
            <w:r>
              <w:rPr>
                <w:rFonts w:ascii="Times New Roman" w:hAnsi="Times New Roman"/>
                <w:color w:val="auto"/>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4216" w:type="dxa"/>
            <w:vAlign w:val="center"/>
          </w:tcPr>
          <w:p>
            <w:pPr>
              <w:pStyle w:val="12"/>
              <w:rPr>
                <w:rFonts w:ascii="Times New Roman" w:hAnsi="Times New Roman"/>
                <w:color w:val="auto"/>
              </w:rPr>
            </w:pPr>
            <w:r>
              <w:rPr>
                <w:rFonts w:ascii="Times New Roman" w:hAnsi="Times New Roman"/>
                <w:color w:val="auto"/>
              </w:rPr>
              <w:t>绿色建材推广比例(%)</w:t>
            </w:r>
          </w:p>
        </w:tc>
        <w:tc>
          <w:tcPr>
            <w:tcW w:w="1137" w:type="dxa"/>
            <w:vAlign w:val="center"/>
          </w:tcPr>
          <w:p>
            <w:pPr>
              <w:pStyle w:val="12"/>
              <w:rPr>
                <w:rFonts w:ascii="Times New Roman" w:hAnsi="Times New Roman"/>
                <w:color w:val="auto"/>
              </w:rPr>
            </w:pPr>
            <w:r>
              <w:rPr>
                <w:rFonts w:ascii="Times New Roman" w:hAnsi="Times New Roman"/>
                <w:color w:val="auto"/>
              </w:rPr>
              <w:t>10</w:t>
            </w:r>
          </w:p>
        </w:tc>
        <w:tc>
          <w:tcPr>
            <w:tcW w:w="1134" w:type="dxa"/>
            <w:vAlign w:val="center"/>
          </w:tcPr>
          <w:p>
            <w:pPr>
              <w:pStyle w:val="12"/>
              <w:rPr>
                <w:rFonts w:ascii="Times New Roman" w:hAnsi="Times New Roman"/>
                <w:color w:val="auto"/>
              </w:rPr>
            </w:pPr>
            <w:r>
              <w:rPr>
                <w:rFonts w:ascii="Times New Roman" w:hAnsi="Times New Roman"/>
                <w:color w:val="auto"/>
              </w:rPr>
              <w:t>40</w:t>
            </w:r>
          </w:p>
        </w:tc>
        <w:tc>
          <w:tcPr>
            <w:tcW w:w="901" w:type="dxa"/>
            <w:vAlign w:val="center"/>
          </w:tcPr>
          <w:p>
            <w:pPr>
              <w:pStyle w:val="12"/>
              <w:rPr>
                <w:rFonts w:ascii="Times New Roman" w:hAnsi="Times New Roman"/>
                <w:color w:val="auto"/>
              </w:rPr>
            </w:pPr>
            <w:r>
              <w:rPr>
                <w:rFonts w:ascii="Times New Roman" w:hAnsi="Times New Roman"/>
                <w:color w:val="auto"/>
              </w:rPr>
              <w:t>预期性</w:t>
            </w:r>
          </w:p>
        </w:tc>
      </w:tr>
    </w:tbl>
    <w:p>
      <w:pPr>
        <w:rPr>
          <w:color w:val="auto"/>
        </w:rPr>
      </w:pPr>
    </w:p>
    <w:p>
      <w:pPr>
        <w:rPr>
          <w:color w:val="auto"/>
        </w:rPr>
      </w:pPr>
      <w:r>
        <w:rPr>
          <w:rFonts w:hint="eastAsia"/>
          <w:color w:val="auto"/>
        </w:rPr>
        <w:t>（5）《海南省住房和城乡建设厅关于加快推进绿色建筑发展的意见》琼建科〔2016〕160号</w:t>
      </w:r>
    </w:p>
    <w:p>
      <w:pPr>
        <w:rPr>
          <w:color w:val="auto"/>
        </w:rPr>
      </w:pPr>
      <w:r>
        <w:rPr>
          <w:rFonts w:hint="eastAsia"/>
          <w:color w:val="auto"/>
        </w:rPr>
        <w:t>依据《海南省住房和城乡建设厅关于加快推进绿色建筑发展的意见》琼建科〔2016〕160号，提出目标和要求：</w:t>
      </w:r>
    </w:p>
    <w:p>
      <w:pPr>
        <w:rPr>
          <w:color w:val="auto"/>
        </w:rPr>
      </w:pPr>
      <w:r>
        <w:rPr>
          <w:rFonts w:hint="eastAsia"/>
          <w:color w:val="auto"/>
        </w:rPr>
        <w:t>1、做好国家机关办公建筑、政府投资公益性建筑、大型公共建筑以及住宅建筑等执行绿色建筑标准的强制性规定。“十三五”末期，城镇绿色建筑占新建建筑比例达到50%以上。</w:t>
      </w:r>
    </w:p>
    <w:p>
      <w:pPr>
        <w:rPr>
          <w:color w:val="auto"/>
        </w:rPr>
      </w:pPr>
      <w:r>
        <w:rPr>
          <w:rFonts w:hint="eastAsia"/>
          <w:color w:val="auto"/>
        </w:rPr>
        <w:t>2、扩大绿色建筑标准的强制执行范围。继续做好国家机关办公建筑，单体建筑面积超过</w:t>
      </w:r>
      <w:r>
        <w:rPr>
          <w:color w:val="auto"/>
        </w:rPr>
        <w:t>3000</w:t>
      </w:r>
      <w:r>
        <w:rPr>
          <w:rFonts w:hint="eastAsia"/>
          <w:color w:val="auto"/>
        </w:rPr>
        <w:t>平方米的政府投资的学校、医院、博物馆、科技馆、体育馆等满足社会公众公共需要的公益性建筑，以及单体建筑面积超过2万平方米的机场、车站、宾馆、饭店、商场、写字楼等公共建筑执行绿色建筑标准的强制性规定。2016年8月1日起，住宅建筑全面执行绿色建筑标准。</w:t>
      </w:r>
    </w:p>
    <w:p>
      <w:pPr>
        <w:rPr>
          <w:color w:val="auto"/>
        </w:rPr>
      </w:pPr>
      <w:r>
        <w:rPr>
          <w:rFonts w:hint="eastAsia"/>
          <w:color w:val="auto"/>
        </w:rPr>
        <w:t>3、推进绿色生态小区（城区）建设。2016年10月1 日起，规划用地面积10公顷及以上的新建城市居住区、居住小区和居住组团等按绿色生态小区要求进行规划、设计、施工、运行。鼓励结合新区建设和旧城改造，对总规划用地面积20公顷及以上的新建城市开发区、功能区、新城区等，按绿色生态城区要求进行规划、设计、施工、运行。</w:t>
      </w:r>
    </w:p>
    <w:p>
      <w:pPr>
        <w:rPr>
          <w:color w:val="auto"/>
        </w:rPr>
      </w:pPr>
      <w:r>
        <w:rPr>
          <w:rFonts w:hint="eastAsia"/>
          <w:color w:val="auto"/>
        </w:rPr>
        <w:t>4、加快实施绿色建筑示范工程。结合当地经济社会发展水平、资源禀赋、气候条件、建筑风貌、民族习俗、文化和生活习惯等因素，以国家机关办公建筑、政府投资建筑、保障性住房、大型公共建筑、高档次商品房以及新建开发区（园区）为突破口，设计、建造示范带动作用明显的高星级绿色建筑和绿色生态小区（城区）。2018年前，海口、三亚、儋州、琼海、万宁、陵水和文昌等市县应建设一批高星级绿色建筑、绿色生态小区（城区），其它市县至少应建设高星级绿色建筑和绿色生态小区各1个。</w:t>
      </w:r>
    </w:p>
    <w:p>
      <w:pPr>
        <w:rPr>
          <w:color w:val="auto"/>
        </w:rPr>
      </w:pPr>
      <w:r>
        <w:rPr>
          <w:rFonts w:hint="eastAsia"/>
          <w:color w:val="auto"/>
        </w:rPr>
        <w:t>（6）《三亚市建筑节能与绿色建筑“十三五”专项规划》</w:t>
      </w:r>
    </w:p>
    <w:p>
      <w:pPr>
        <w:rPr>
          <w:color w:val="auto"/>
        </w:rPr>
      </w:pPr>
      <w:r>
        <w:rPr>
          <w:rFonts w:hint="eastAsia"/>
          <w:color w:val="auto"/>
        </w:rPr>
        <w:t>根据《三亚市建筑节能与绿色建筑“十三五”专项规划》，提出发展目标如下：</w:t>
      </w:r>
    </w:p>
    <w:p>
      <w:pPr>
        <w:rPr>
          <w:color w:val="auto"/>
        </w:rPr>
      </w:pPr>
      <w:r>
        <w:rPr>
          <w:rFonts w:hint="eastAsia"/>
          <w:color w:val="auto"/>
        </w:rPr>
        <w:t>1、</w:t>
      </w:r>
      <w:r>
        <w:rPr>
          <w:color w:val="auto"/>
        </w:rPr>
        <w:t>城镇新建建筑设计和施工阶段节能强制性标准执行率</w:t>
      </w:r>
      <w:r>
        <w:rPr>
          <w:rFonts w:hint="eastAsia"/>
          <w:color w:val="auto"/>
        </w:rPr>
        <w:t>继续实现</w:t>
      </w:r>
      <w:r>
        <w:rPr>
          <w:color w:val="auto"/>
        </w:rPr>
        <w:t>100%。新建建筑能效水平</w:t>
      </w:r>
      <w:r>
        <w:rPr>
          <w:rFonts w:hint="eastAsia"/>
          <w:color w:val="auto"/>
        </w:rPr>
        <w:t>得到进一步</w:t>
      </w:r>
      <w:r>
        <w:rPr>
          <w:color w:val="auto"/>
        </w:rPr>
        <w:t>提升。</w:t>
      </w:r>
    </w:p>
    <w:p>
      <w:pPr>
        <w:rPr>
          <w:color w:val="auto"/>
        </w:rPr>
      </w:pPr>
      <w:r>
        <w:rPr>
          <w:rFonts w:hint="eastAsia"/>
          <w:color w:val="auto"/>
        </w:rPr>
        <w:t>2、扎实推进绿色建筑发展，城市规划区内绿色建筑占新建建筑面积比例达到70%，高星级绿色建筑得到全面推广。</w:t>
      </w:r>
    </w:p>
    <w:p>
      <w:pPr>
        <w:rPr>
          <w:color w:val="auto"/>
        </w:rPr>
      </w:pPr>
      <w:r>
        <w:rPr>
          <w:rFonts w:hint="eastAsia"/>
          <w:color w:val="auto"/>
        </w:rPr>
        <w:t>3、完成大型公共建筑及重点用能建筑能耗监测系统建设，既有建筑节能改造初见成效。</w:t>
      </w:r>
    </w:p>
    <w:p>
      <w:pPr>
        <w:rPr>
          <w:color w:val="auto"/>
        </w:rPr>
      </w:pPr>
      <w:r>
        <w:rPr>
          <w:rFonts w:hint="eastAsia"/>
          <w:color w:val="auto"/>
        </w:rPr>
        <w:t>4、拓展可再生能源建筑应用形式，</w:t>
      </w:r>
      <w:r>
        <w:rPr>
          <w:color w:val="auto"/>
        </w:rPr>
        <w:t>继续扩大可再生能源建筑规模化应用，实现太阳能光伏建筑一体化应用初具规模。</w:t>
      </w:r>
    </w:p>
    <w:p>
      <w:pPr>
        <w:rPr>
          <w:color w:val="auto"/>
        </w:rPr>
      </w:pPr>
      <w:r>
        <w:rPr>
          <w:rFonts w:hint="eastAsia"/>
          <w:color w:val="auto"/>
        </w:rPr>
        <w:t>5、争取创建国家装配式建筑示范城市；鼓励</w:t>
      </w:r>
      <w:r>
        <w:rPr>
          <w:color w:val="auto"/>
        </w:rPr>
        <w:t>新建建筑</w:t>
      </w:r>
      <w:r>
        <w:rPr>
          <w:rFonts w:hint="eastAsia"/>
          <w:color w:val="auto"/>
        </w:rPr>
        <w:t>采</w:t>
      </w:r>
      <w:r>
        <w:rPr>
          <w:color w:val="auto"/>
        </w:rPr>
        <w:t>用绿色建材</w:t>
      </w:r>
      <w:r>
        <w:rPr>
          <w:rFonts w:hint="eastAsia"/>
          <w:color w:val="auto"/>
        </w:rPr>
        <w:t>；BIM技术应用得到进一步推广。</w:t>
      </w:r>
    </w:p>
    <w:p>
      <w:pPr>
        <w:pStyle w:val="4"/>
        <w:rPr>
          <w:color w:val="auto"/>
        </w:rPr>
      </w:pPr>
      <w:bookmarkStart w:id="203" w:name="_Toc8013"/>
      <w:r>
        <w:rPr>
          <w:color w:val="auto"/>
        </w:rPr>
        <w:t>3.1.</w:t>
      </w:r>
      <w:r>
        <w:rPr>
          <w:rFonts w:hint="eastAsia"/>
          <w:color w:val="auto"/>
        </w:rPr>
        <w:t>3区域指标完成情况分析</w:t>
      </w:r>
      <w:bookmarkEnd w:id="203"/>
    </w:p>
    <w:p>
      <w:pPr>
        <w:rPr>
          <w:color w:val="auto"/>
        </w:rPr>
      </w:pPr>
      <w:r>
        <w:rPr>
          <w:rFonts w:hint="eastAsia"/>
          <w:color w:val="auto"/>
        </w:rPr>
        <w:t>依据国家、海南省及三亚市相关文件，及三亚市节能指标完成情况分析，截至</w:t>
      </w:r>
      <w:r>
        <w:rPr>
          <w:color w:val="auto"/>
        </w:rPr>
        <w:t>2020</w:t>
      </w:r>
      <w:r>
        <w:rPr>
          <w:rFonts w:hint="eastAsia"/>
          <w:color w:val="auto"/>
        </w:rPr>
        <w:t>年，三亚市区域节能指标完成情况如下：</w:t>
      </w:r>
    </w:p>
    <w:p>
      <w:pPr>
        <w:numPr>
          <w:ilvl w:val="0"/>
          <w:numId w:val="7"/>
        </w:numPr>
        <w:rPr>
          <w:color w:val="auto"/>
        </w:rPr>
      </w:pPr>
      <w:r>
        <w:rPr>
          <w:rFonts w:hint="eastAsia"/>
          <w:color w:val="auto"/>
        </w:rPr>
        <w:t>实现新建建筑节能设计阶段达标100%，施工阶段达标100%。</w:t>
      </w:r>
    </w:p>
    <w:p>
      <w:pPr>
        <w:rPr>
          <w:color w:val="auto"/>
        </w:rPr>
      </w:pPr>
      <w:r>
        <w:rPr>
          <w:rFonts w:hint="eastAsia"/>
          <w:color w:val="auto"/>
        </w:rPr>
        <w:t>（2）新建大型公共建筑及重点用能建筑基本建立用能监测系统。</w:t>
      </w:r>
    </w:p>
    <w:p>
      <w:pPr>
        <w:rPr>
          <w:color w:val="auto"/>
        </w:rPr>
      </w:pPr>
      <w:r>
        <w:rPr>
          <w:rFonts w:hint="eastAsia"/>
          <w:color w:val="auto"/>
        </w:rPr>
        <w:t>（3）贯彻落实国家、省市有关推进装配式建筑发展政策要求。至2</w:t>
      </w:r>
      <w:r>
        <w:rPr>
          <w:color w:val="auto"/>
        </w:rPr>
        <w:t>020</w:t>
      </w:r>
      <w:r>
        <w:rPr>
          <w:rFonts w:hint="eastAsia"/>
          <w:color w:val="auto"/>
        </w:rPr>
        <w:t>年下旬，我市建设工程项目“装配式建筑实施方案”通过专家评审</w:t>
      </w:r>
      <w:r>
        <w:rPr>
          <w:color w:val="auto"/>
        </w:rPr>
        <w:t>49</w:t>
      </w:r>
      <w:r>
        <w:rPr>
          <w:rFonts w:hint="eastAsia"/>
          <w:color w:val="auto"/>
        </w:rPr>
        <w:t>个，建筑总面积</w:t>
      </w:r>
      <w:r>
        <w:rPr>
          <w:color w:val="auto"/>
        </w:rPr>
        <w:t>449</w:t>
      </w:r>
      <w:r>
        <w:rPr>
          <w:rFonts w:hint="eastAsia"/>
          <w:color w:val="auto"/>
        </w:rPr>
        <w:t>万平方米，装配式建筑面积3</w:t>
      </w:r>
      <w:r>
        <w:rPr>
          <w:color w:val="auto"/>
        </w:rPr>
        <w:t>17</w:t>
      </w:r>
      <w:r>
        <w:rPr>
          <w:rFonts w:hint="eastAsia"/>
          <w:color w:val="auto"/>
        </w:rPr>
        <w:t>万平方米。</w:t>
      </w:r>
    </w:p>
    <w:p>
      <w:pPr>
        <w:rPr>
          <w:color w:val="auto"/>
        </w:rPr>
      </w:pPr>
      <w:r>
        <w:rPr>
          <w:rFonts w:hint="eastAsia"/>
          <w:color w:val="auto"/>
        </w:rPr>
        <w:t>（4）规范可再生能源建筑应用。严格规范我市新建、改扩建建筑太阳能热水系统项目应用管理，提升太阳能热水系统在我市建筑领域的高水平应用。</w:t>
      </w:r>
      <w:r>
        <w:rPr>
          <w:color w:val="auto"/>
        </w:rPr>
        <w:t>2016-2019年累计建成并投入使用太阳能热水应用项目202个，总建筑面积1183.4万</w:t>
      </w:r>
      <w:r>
        <w:rPr>
          <w:rFonts w:hint="eastAsia"/>
          <w:color w:val="auto"/>
        </w:rPr>
        <w:t>平方米</w:t>
      </w:r>
      <w:r>
        <w:rPr>
          <w:color w:val="auto"/>
        </w:rPr>
        <w:t>，其中太阳能应用面积739.9万</w:t>
      </w:r>
      <w:r>
        <w:rPr>
          <w:rFonts w:hint="eastAsia"/>
          <w:color w:val="auto"/>
        </w:rPr>
        <w:t>平方米</w:t>
      </w:r>
      <w:r>
        <w:rPr>
          <w:color w:val="auto"/>
        </w:rPr>
        <w:t>。</w:t>
      </w:r>
    </w:p>
    <w:p>
      <w:pPr>
        <w:rPr>
          <w:color w:val="auto"/>
        </w:rPr>
      </w:pPr>
      <w:r>
        <w:rPr>
          <w:rFonts w:hint="eastAsia"/>
          <w:color w:val="auto"/>
        </w:rPr>
        <w:t>（5）自2017年7月1日起，新建商品住宅全部实行全装修，实现成品交付。加快绿色建筑发展，推进太阳能、空气热能、浅层地热能等的应用。</w:t>
      </w:r>
    </w:p>
    <w:p>
      <w:pPr>
        <w:rPr>
          <w:color w:val="auto"/>
        </w:rPr>
      </w:pPr>
      <w:r>
        <w:rPr>
          <w:rFonts w:hint="eastAsia"/>
          <w:color w:val="auto"/>
        </w:rPr>
        <w:t>（6）扩大绿色建筑标准的强制执行范围，住宅建筑全面执行绿色建筑标准。依据《海南省住房和城乡建设厅关于印发</w:t>
      </w:r>
      <w:r>
        <w:rPr>
          <w:rFonts w:hint="eastAsia" w:ascii="宋体" w:hAnsi="宋体" w:cs="宋体"/>
          <w:color w:val="auto"/>
        </w:rPr>
        <w:t>〈</w:t>
      </w:r>
      <w:r>
        <w:rPr>
          <w:rFonts w:hint="eastAsia"/>
          <w:color w:val="auto"/>
        </w:rPr>
        <w:t>海南省绿色建筑施工图设计专篇</w:t>
      </w:r>
      <w:r>
        <w:rPr>
          <w:rFonts w:hint="eastAsia" w:ascii="宋体" w:hAnsi="宋体" w:cs="宋体"/>
          <w:color w:val="auto"/>
        </w:rPr>
        <w:t>〉</w:t>
      </w:r>
      <w:r>
        <w:rPr>
          <w:rFonts w:hint="eastAsia"/>
          <w:color w:val="auto"/>
        </w:rPr>
        <w:t>的通知》（琼建科</w:t>
      </w:r>
      <w:r>
        <w:rPr>
          <w:rFonts w:hint="eastAsia" w:ascii="宋体" w:hAnsi="宋体" w:cs="宋体"/>
          <w:color w:val="auto"/>
        </w:rPr>
        <w:t>[2017]92号</w:t>
      </w:r>
      <w:r>
        <w:rPr>
          <w:rFonts w:hint="eastAsia"/>
          <w:color w:val="auto"/>
        </w:rPr>
        <w:t>），单体建筑面积超过</w:t>
      </w:r>
      <w:r>
        <w:rPr>
          <w:color w:val="auto"/>
        </w:rPr>
        <w:t>3000</w:t>
      </w:r>
      <w:r>
        <w:rPr>
          <w:rFonts w:hint="eastAsia"/>
          <w:color w:val="auto"/>
        </w:rPr>
        <w:t>平方米的政府投资的公益性建筑和单体建筑面积超过2万平方米的公共建筑全面执行绿色建筑标准，自2017年5月1日起执行。依据《海南省住房和城乡建设厅关于印发</w:t>
      </w:r>
      <w:r>
        <w:rPr>
          <w:rFonts w:hint="eastAsia" w:ascii="宋体" w:hAnsi="宋体" w:cs="宋体"/>
          <w:color w:val="auto"/>
        </w:rPr>
        <w:t>〈</w:t>
      </w:r>
      <w:r>
        <w:rPr>
          <w:rFonts w:hint="eastAsia"/>
          <w:color w:val="auto"/>
        </w:rPr>
        <w:t>海南省绿色建筑设计说明专篇（2019年版）</w:t>
      </w:r>
      <w:r>
        <w:rPr>
          <w:rFonts w:hint="eastAsia" w:ascii="宋体" w:hAnsi="宋体" w:cs="宋体"/>
          <w:color w:val="auto"/>
        </w:rPr>
        <w:t>〉</w:t>
      </w:r>
      <w:r>
        <w:rPr>
          <w:rFonts w:hint="eastAsia"/>
          <w:color w:val="auto"/>
        </w:rPr>
        <w:t>的通知》，单体建筑面积超过1000平方米的政府投资的公益性建筑和单体建筑面积超过2万平方米的公共建筑全面执行绿色建筑标准，自2019年10月1日起实施。</w:t>
      </w:r>
    </w:p>
    <w:p>
      <w:pPr>
        <w:rPr>
          <w:color w:val="auto"/>
        </w:rPr>
      </w:pPr>
      <w:r>
        <w:rPr>
          <w:rFonts w:hint="eastAsia"/>
          <w:color w:val="auto"/>
        </w:rPr>
        <w:t>2019年三亚执行绿色建筑面积573.98万平方米，占施工许可总面积比例为89%。2020年施工许可报建中执行绿色建筑标准项目103个，建筑面积671万㎡，占施工许可总建筑面积比例88%。竣工验收备案项目中执行绿色建筑项目67个，建筑面积356.62万</w:t>
      </w:r>
      <w:r>
        <w:rPr>
          <w:rFonts w:hint="eastAsia"/>
          <w:color w:val="auto"/>
          <w:spacing w:val="-1"/>
        </w:rPr>
        <w:t>平方米</w:t>
      </w:r>
      <w:r>
        <w:rPr>
          <w:rFonts w:hint="eastAsia"/>
          <w:color w:val="auto"/>
        </w:rPr>
        <w:t>，占竣工验收备案总建筑面积74%。已达到城镇绿色建筑面积占新建建筑面积比例达到50%的目标。</w:t>
      </w:r>
    </w:p>
    <w:p>
      <w:pPr>
        <w:rPr>
          <w:color w:val="auto"/>
        </w:rPr>
      </w:pPr>
      <w:r>
        <w:rPr>
          <w:rFonts w:hint="eastAsia"/>
          <w:color w:val="auto"/>
        </w:rPr>
        <w:t>与《三亚市建筑节能与绿色建筑“十三五”专项规划》确定的目标相比，基本完成目标，与海南省和住房城乡建设相关文件要求相比，基本达到省级文件目标。</w:t>
      </w:r>
    </w:p>
    <w:p>
      <w:pPr>
        <w:pStyle w:val="10"/>
        <w:spacing w:before="312"/>
        <w:rPr>
          <w:rFonts w:ascii="Times New Roman" w:hAnsi="Times New Roman"/>
          <w:color w:val="auto"/>
          <w:sz w:val="21"/>
          <w:szCs w:val="21"/>
        </w:rPr>
      </w:pPr>
      <w:r>
        <w:rPr>
          <w:rFonts w:ascii="Times New Roman" w:hAnsi="Times New Roman"/>
          <w:color w:val="auto"/>
          <w:sz w:val="21"/>
          <w:szCs w:val="21"/>
        </w:rPr>
        <w:t>表3-1</w:t>
      </w:r>
      <w:r>
        <w:rPr>
          <w:rFonts w:hint="eastAsia" w:ascii="Times New Roman" w:hAnsi="Times New Roman"/>
          <w:color w:val="auto"/>
          <w:sz w:val="21"/>
          <w:szCs w:val="21"/>
        </w:rPr>
        <w:t xml:space="preserve"> “</w:t>
      </w:r>
      <w:r>
        <w:rPr>
          <w:rFonts w:ascii="Times New Roman" w:hAnsi="Times New Roman"/>
          <w:color w:val="auto"/>
          <w:sz w:val="21"/>
          <w:szCs w:val="21"/>
        </w:rPr>
        <w:t>十三五</w:t>
      </w:r>
      <w:r>
        <w:rPr>
          <w:rFonts w:hint="eastAsia" w:ascii="Times New Roman" w:hAnsi="Times New Roman"/>
          <w:color w:val="auto"/>
          <w:sz w:val="21"/>
          <w:szCs w:val="21"/>
        </w:rPr>
        <w:t>”</w:t>
      </w:r>
      <w:r>
        <w:rPr>
          <w:rFonts w:ascii="Times New Roman" w:hAnsi="Times New Roman"/>
          <w:color w:val="auto"/>
          <w:sz w:val="21"/>
          <w:szCs w:val="21"/>
        </w:rPr>
        <w:t>期间节能目标完成情况</w:t>
      </w:r>
    </w:p>
    <w:tbl>
      <w:tblPr>
        <w:tblStyle w:val="39"/>
        <w:tblW w:w="892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0"/>
        <w:gridCol w:w="1073"/>
        <w:gridCol w:w="3244"/>
        <w:gridCol w:w="916"/>
        <w:gridCol w:w="3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atLeast"/>
          <w:jc w:val="center"/>
        </w:trPr>
        <w:tc>
          <w:tcPr>
            <w:tcW w:w="560" w:type="dxa"/>
            <w:vAlign w:val="center"/>
          </w:tcPr>
          <w:p>
            <w:pPr>
              <w:pStyle w:val="12"/>
              <w:rPr>
                <w:rFonts w:ascii="Times New Roman" w:hAnsi="Times New Roman"/>
                <w:b/>
                <w:bCs/>
                <w:color w:val="auto"/>
              </w:rPr>
            </w:pPr>
            <w:r>
              <w:rPr>
                <w:rFonts w:ascii="Times New Roman" w:hAnsi="Times New Roman"/>
                <w:b/>
                <w:bCs/>
                <w:color w:val="auto"/>
              </w:rPr>
              <w:t>序号</w:t>
            </w:r>
          </w:p>
        </w:tc>
        <w:tc>
          <w:tcPr>
            <w:tcW w:w="1073" w:type="dxa"/>
            <w:vAlign w:val="center"/>
          </w:tcPr>
          <w:p>
            <w:pPr>
              <w:pStyle w:val="12"/>
              <w:rPr>
                <w:rFonts w:ascii="Times New Roman" w:hAnsi="Times New Roman"/>
                <w:b/>
                <w:bCs/>
                <w:color w:val="auto"/>
              </w:rPr>
            </w:pPr>
            <w:r>
              <w:rPr>
                <w:rFonts w:ascii="Times New Roman" w:hAnsi="Times New Roman"/>
                <w:b/>
                <w:bCs/>
                <w:color w:val="auto"/>
              </w:rPr>
              <w:t>类别</w:t>
            </w:r>
          </w:p>
        </w:tc>
        <w:tc>
          <w:tcPr>
            <w:tcW w:w="3244" w:type="dxa"/>
            <w:vAlign w:val="center"/>
          </w:tcPr>
          <w:p>
            <w:pPr>
              <w:pStyle w:val="12"/>
              <w:rPr>
                <w:rFonts w:ascii="Times New Roman" w:hAnsi="Times New Roman"/>
                <w:b/>
                <w:bCs/>
                <w:color w:val="auto"/>
              </w:rPr>
            </w:pPr>
            <w:r>
              <w:rPr>
                <w:rFonts w:ascii="Times New Roman" w:hAnsi="Times New Roman"/>
                <w:b/>
                <w:bCs/>
                <w:color w:val="auto"/>
              </w:rPr>
              <w:t>目标要求</w:t>
            </w:r>
          </w:p>
        </w:tc>
        <w:tc>
          <w:tcPr>
            <w:tcW w:w="916" w:type="dxa"/>
            <w:vAlign w:val="center"/>
          </w:tcPr>
          <w:p>
            <w:pPr>
              <w:pStyle w:val="12"/>
              <w:rPr>
                <w:rFonts w:ascii="Times New Roman" w:hAnsi="Times New Roman"/>
                <w:b/>
                <w:bCs/>
                <w:color w:val="auto"/>
              </w:rPr>
            </w:pPr>
            <w:r>
              <w:rPr>
                <w:rFonts w:ascii="Times New Roman" w:hAnsi="Times New Roman"/>
                <w:b/>
                <w:bCs/>
                <w:color w:val="auto"/>
              </w:rPr>
              <w:t>完成</w:t>
            </w:r>
          </w:p>
          <w:p>
            <w:pPr>
              <w:pStyle w:val="12"/>
              <w:rPr>
                <w:rFonts w:ascii="Times New Roman" w:hAnsi="Times New Roman"/>
                <w:b/>
                <w:bCs/>
                <w:color w:val="auto"/>
              </w:rPr>
            </w:pPr>
            <w:r>
              <w:rPr>
                <w:rFonts w:ascii="Times New Roman" w:hAnsi="Times New Roman"/>
                <w:b/>
                <w:bCs/>
                <w:color w:val="auto"/>
              </w:rPr>
              <w:t>情况</w:t>
            </w:r>
          </w:p>
        </w:tc>
        <w:tc>
          <w:tcPr>
            <w:tcW w:w="3133" w:type="dxa"/>
            <w:vAlign w:val="center"/>
          </w:tcPr>
          <w:p>
            <w:pPr>
              <w:pStyle w:val="12"/>
              <w:rPr>
                <w:rFonts w:ascii="Times New Roman" w:hAnsi="Times New Roman"/>
                <w:b/>
                <w:bCs/>
                <w:color w:val="auto"/>
              </w:rPr>
            </w:pPr>
            <w:r>
              <w:rPr>
                <w:rFonts w:ascii="Times New Roman" w:hAnsi="Times New Roman"/>
                <w:b/>
                <w:bCs/>
                <w:color w:val="auto"/>
              </w:rPr>
              <w:t>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6" w:hRule="atLeast"/>
          <w:jc w:val="center"/>
        </w:trPr>
        <w:tc>
          <w:tcPr>
            <w:tcW w:w="560" w:type="dxa"/>
            <w:vAlign w:val="center"/>
          </w:tcPr>
          <w:p>
            <w:pPr>
              <w:pStyle w:val="12"/>
              <w:rPr>
                <w:rFonts w:ascii="Times New Roman" w:hAnsi="Times New Roman"/>
                <w:color w:val="auto"/>
              </w:rPr>
            </w:pPr>
            <w:r>
              <w:rPr>
                <w:rFonts w:ascii="Times New Roman" w:hAnsi="Times New Roman"/>
                <w:color w:val="auto"/>
              </w:rPr>
              <w:t>1</w:t>
            </w:r>
          </w:p>
        </w:tc>
        <w:tc>
          <w:tcPr>
            <w:tcW w:w="1073" w:type="dxa"/>
            <w:vAlign w:val="center"/>
          </w:tcPr>
          <w:p>
            <w:pPr>
              <w:pStyle w:val="12"/>
              <w:rPr>
                <w:rFonts w:ascii="Times New Roman" w:hAnsi="Times New Roman"/>
                <w:color w:val="auto"/>
              </w:rPr>
            </w:pPr>
            <w:r>
              <w:rPr>
                <w:rFonts w:ascii="Times New Roman" w:hAnsi="Times New Roman"/>
                <w:color w:val="auto"/>
              </w:rPr>
              <w:t>节能</w:t>
            </w:r>
          </w:p>
        </w:tc>
        <w:tc>
          <w:tcPr>
            <w:tcW w:w="3244" w:type="dxa"/>
            <w:vAlign w:val="center"/>
          </w:tcPr>
          <w:p>
            <w:pPr>
              <w:pStyle w:val="12"/>
              <w:rPr>
                <w:rFonts w:ascii="Times New Roman" w:hAnsi="Times New Roman"/>
                <w:color w:val="auto"/>
              </w:rPr>
            </w:pPr>
            <w:r>
              <w:rPr>
                <w:rFonts w:ascii="Times New Roman" w:hAnsi="Times New Roman"/>
                <w:color w:val="auto"/>
              </w:rPr>
              <w:t>城镇新建建筑设计和施工阶段节能强制性标准执行率继续实现100%。</w:t>
            </w:r>
          </w:p>
        </w:tc>
        <w:tc>
          <w:tcPr>
            <w:tcW w:w="916" w:type="dxa"/>
            <w:vAlign w:val="center"/>
          </w:tcPr>
          <w:p>
            <w:pPr>
              <w:pStyle w:val="12"/>
              <w:rPr>
                <w:rFonts w:ascii="Times New Roman" w:hAnsi="Times New Roman"/>
                <w:color w:val="auto"/>
              </w:rPr>
            </w:pPr>
            <w:r>
              <w:rPr>
                <w:rFonts w:ascii="Times New Roman" w:hAnsi="Times New Roman"/>
                <w:color w:val="auto"/>
              </w:rPr>
              <w:t>已完成</w:t>
            </w:r>
          </w:p>
        </w:tc>
        <w:tc>
          <w:tcPr>
            <w:tcW w:w="3133" w:type="dxa"/>
            <w:vAlign w:val="center"/>
          </w:tcPr>
          <w:p>
            <w:pPr>
              <w:pStyle w:val="12"/>
              <w:rPr>
                <w:rFonts w:ascii="Times New Roman" w:hAnsi="Times New Roman"/>
                <w:color w:val="auto"/>
              </w:rPr>
            </w:pPr>
            <w:r>
              <w:rPr>
                <w:rFonts w:ascii="Times New Roman" w:hAnsi="Times New Roman"/>
                <w:color w:val="auto"/>
              </w:rPr>
              <w:t>新建建筑节能设计阶段达标100%，施工阶段达标100%。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6" w:hRule="atLeast"/>
          <w:jc w:val="center"/>
        </w:trPr>
        <w:tc>
          <w:tcPr>
            <w:tcW w:w="560" w:type="dxa"/>
            <w:vAlign w:val="center"/>
          </w:tcPr>
          <w:p>
            <w:pPr>
              <w:pStyle w:val="12"/>
              <w:rPr>
                <w:rFonts w:ascii="Times New Roman" w:hAnsi="Times New Roman"/>
                <w:color w:val="auto"/>
              </w:rPr>
            </w:pPr>
            <w:r>
              <w:rPr>
                <w:rFonts w:ascii="Times New Roman" w:hAnsi="Times New Roman"/>
                <w:color w:val="auto"/>
              </w:rPr>
              <w:t>2</w:t>
            </w:r>
          </w:p>
        </w:tc>
        <w:tc>
          <w:tcPr>
            <w:tcW w:w="1073" w:type="dxa"/>
            <w:vAlign w:val="center"/>
          </w:tcPr>
          <w:p>
            <w:pPr>
              <w:pStyle w:val="12"/>
              <w:rPr>
                <w:rFonts w:ascii="Times New Roman" w:hAnsi="Times New Roman"/>
                <w:color w:val="auto"/>
              </w:rPr>
            </w:pPr>
            <w:r>
              <w:rPr>
                <w:rFonts w:ascii="Times New Roman" w:hAnsi="Times New Roman"/>
                <w:color w:val="auto"/>
              </w:rPr>
              <w:t>绿色建筑</w:t>
            </w:r>
          </w:p>
        </w:tc>
        <w:tc>
          <w:tcPr>
            <w:tcW w:w="3244" w:type="dxa"/>
            <w:vAlign w:val="center"/>
          </w:tcPr>
          <w:p>
            <w:pPr>
              <w:pStyle w:val="12"/>
              <w:rPr>
                <w:rFonts w:ascii="Times New Roman" w:hAnsi="Times New Roman"/>
                <w:color w:val="auto"/>
              </w:rPr>
            </w:pPr>
            <w:r>
              <w:rPr>
                <w:rFonts w:ascii="Times New Roman" w:hAnsi="Times New Roman"/>
                <w:color w:val="auto"/>
              </w:rPr>
              <w:t>到2020年城镇绿色建筑面积占新建建筑面积比例达到50%。</w:t>
            </w:r>
          </w:p>
        </w:tc>
        <w:tc>
          <w:tcPr>
            <w:tcW w:w="916" w:type="dxa"/>
            <w:vAlign w:val="center"/>
          </w:tcPr>
          <w:p>
            <w:pPr>
              <w:pStyle w:val="12"/>
              <w:rPr>
                <w:rFonts w:ascii="Times New Roman" w:hAnsi="Times New Roman"/>
                <w:color w:val="auto"/>
              </w:rPr>
            </w:pPr>
            <w:r>
              <w:rPr>
                <w:rFonts w:ascii="Times New Roman" w:hAnsi="Times New Roman"/>
                <w:color w:val="auto"/>
              </w:rPr>
              <w:t>已完成</w:t>
            </w:r>
          </w:p>
        </w:tc>
        <w:tc>
          <w:tcPr>
            <w:tcW w:w="3133" w:type="dxa"/>
            <w:vAlign w:val="center"/>
          </w:tcPr>
          <w:p>
            <w:pPr>
              <w:spacing w:line="240" w:lineRule="auto"/>
              <w:ind w:firstLine="420"/>
              <w:rPr>
                <w:color w:val="auto"/>
              </w:rPr>
            </w:pPr>
            <w:r>
              <w:rPr>
                <w:rFonts w:hint="eastAsia"/>
                <w:color w:val="auto"/>
                <w:sz w:val="21"/>
              </w:rPr>
              <w:t>2020年施工许可报建中执行建筑面积671万㎡，占施工许可总建筑面积比例88%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6" w:hRule="atLeast"/>
          <w:jc w:val="center"/>
        </w:trPr>
        <w:tc>
          <w:tcPr>
            <w:tcW w:w="560" w:type="dxa"/>
            <w:vAlign w:val="center"/>
          </w:tcPr>
          <w:p>
            <w:pPr>
              <w:pStyle w:val="12"/>
              <w:rPr>
                <w:rFonts w:ascii="Times New Roman" w:hAnsi="Times New Roman"/>
                <w:color w:val="auto"/>
              </w:rPr>
            </w:pPr>
            <w:r>
              <w:rPr>
                <w:rFonts w:ascii="Times New Roman" w:hAnsi="Times New Roman"/>
                <w:color w:val="auto"/>
              </w:rPr>
              <w:t>3</w:t>
            </w:r>
          </w:p>
        </w:tc>
        <w:tc>
          <w:tcPr>
            <w:tcW w:w="1073" w:type="dxa"/>
            <w:vAlign w:val="center"/>
          </w:tcPr>
          <w:p>
            <w:pPr>
              <w:pStyle w:val="12"/>
              <w:rPr>
                <w:rFonts w:ascii="Times New Roman" w:hAnsi="Times New Roman"/>
                <w:color w:val="auto"/>
              </w:rPr>
            </w:pPr>
            <w:r>
              <w:rPr>
                <w:rFonts w:ascii="Times New Roman" w:hAnsi="Times New Roman"/>
                <w:color w:val="auto"/>
              </w:rPr>
              <w:t>能耗监测</w:t>
            </w:r>
          </w:p>
        </w:tc>
        <w:tc>
          <w:tcPr>
            <w:tcW w:w="3244" w:type="dxa"/>
            <w:vAlign w:val="center"/>
          </w:tcPr>
          <w:p>
            <w:pPr>
              <w:pStyle w:val="12"/>
              <w:rPr>
                <w:rFonts w:ascii="Times New Roman" w:hAnsi="Times New Roman"/>
                <w:color w:val="auto"/>
              </w:rPr>
            </w:pPr>
            <w:r>
              <w:rPr>
                <w:rFonts w:ascii="Times New Roman" w:hAnsi="Times New Roman"/>
                <w:color w:val="auto"/>
              </w:rPr>
              <w:t>完成大型公共建筑及重点用能建筑能耗监测系统建设，既有建筑节能改造初见成效</w:t>
            </w:r>
          </w:p>
        </w:tc>
        <w:tc>
          <w:tcPr>
            <w:tcW w:w="916" w:type="dxa"/>
            <w:vAlign w:val="center"/>
          </w:tcPr>
          <w:p>
            <w:pPr>
              <w:pStyle w:val="12"/>
              <w:rPr>
                <w:rFonts w:ascii="Times New Roman" w:hAnsi="Times New Roman"/>
                <w:color w:val="auto"/>
              </w:rPr>
            </w:pPr>
            <w:r>
              <w:rPr>
                <w:rFonts w:ascii="Times New Roman" w:hAnsi="Times New Roman"/>
                <w:color w:val="auto"/>
              </w:rPr>
              <w:t>已完成</w:t>
            </w:r>
          </w:p>
        </w:tc>
        <w:tc>
          <w:tcPr>
            <w:tcW w:w="3133" w:type="dxa"/>
            <w:vAlign w:val="center"/>
          </w:tcPr>
          <w:p>
            <w:pPr>
              <w:pStyle w:val="12"/>
              <w:rPr>
                <w:rFonts w:ascii="Times New Roman" w:hAnsi="Times New Roman"/>
                <w:color w:val="auto"/>
              </w:rPr>
            </w:pPr>
            <w:r>
              <w:rPr>
                <w:rFonts w:ascii="Times New Roman" w:hAnsi="Times New Roman"/>
                <w:color w:val="auto"/>
              </w:rPr>
              <w:t>已建立能耗监测平台，既有建筑节能改造初见成效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6" w:hRule="atLeast"/>
          <w:jc w:val="center"/>
        </w:trPr>
        <w:tc>
          <w:tcPr>
            <w:tcW w:w="560" w:type="dxa"/>
            <w:vAlign w:val="center"/>
          </w:tcPr>
          <w:p>
            <w:pPr>
              <w:pStyle w:val="12"/>
              <w:rPr>
                <w:rFonts w:ascii="Times New Roman" w:hAnsi="Times New Roman"/>
                <w:color w:val="auto"/>
              </w:rPr>
            </w:pPr>
            <w:r>
              <w:rPr>
                <w:rFonts w:ascii="Times New Roman" w:hAnsi="Times New Roman"/>
                <w:color w:val="auto"/>
              </w:rPr>
              <w:t>4</w:t>
            </w:r>
          </w:p>
        </w:tc>
        <w:tc>
          <w:tcPr>
            <w:tcW w:w="1073" w:type="dxa"/>
            <w:vAlign w:val="center"/>
          </w:tcPr>
          <w:p>
            <w:pPr>
              <w:pStyle w:val="12"/>
              <w:rPr>
                <w:rFonts w:ascii="Times New Roman" w:hAnsi="Times New Roman"/>
                <w:color w:val="auto"/>
              </w:rPr>
            </w:pPr>
            <w:r>
              <w:rPr>
                <w:rFonts w:ascii="Times New Roman" w:hAnsi="Times New Roman"/>
                <w:color w:val="auto"/>
              </w:rPr>
              <w:t>装配式</w:t>
            </w:r>
          </w:p>
        </w:tc>
        <w:tc>
          <w:tcPr>
            <w:tcW w:w="3244" w:type="dxa"/>
            <w:vAlign w:val="center"/>
          </w:tcPr>
          <w:p>
            <w:pPr>
              <w:pStyle w:val="12"/>
              <w:rPr>
                <w:rFonts w:ascii="Times New Roman" w:hAnsi="Times New Roman"/>
                <w:color w:val="auto"/>
              </w:rPr>
            </w:pPr>
            <w:r>
              <w:rPr>
                <w:rFonts w:ascii="Times New Roman" w:hAnsi="Times New Roman"/>
                <w:color w:val="auto"/>
              </w:rPr>
              <w:t>大力推广“装配式钢(轻钢)结构、装配式钢-混凝土结构”等钢结构体系的应用，逐步提高装配式建筑占新建建筑比例。</w:t>
            </w:r>
          </w:p>
        </w:tc>
        <w:tc>
          <w:tcPr>
            <w:tcW w:w="916" w:type="dxa"/>
            <w:vAlign w:val="center"/>
          </w:tcPr>
          <w:p>
            <w:pPr>
              <w:pStyle w:val="12"/>
              <w:rPr>
                <w:rFonts w:ascii="Times New Roman" w:hAnsi="Times New Roman"/>
                <w:color w:val="auto"/>
              </w:rPr>
            </w:pPr>
            <w:r>
              <w:rPr>
                <w:rFonts w:ascii="Times New Roman" w:hAnsi="Times New Roman"/>
                <w:color w:val="auto"/>
              </w:rPr>
              <w:t>已完成</w:t>
            </w:r>
          </w:p>
        </w:tc>
        <w:tc>
          <w:tcPr>
            <w:tcW w:w="3133" w:type="dxa"/>
            <w:vAlign w:val="center"/>
          </w:tcPr>
          <w:p>
            <w:pPr>
              <w:pStyle w:val="12"/>
              <w:jc w:val="left"/>
              <w:rPr>
                <w:rFonts w:ascii="Times New Roman" w:hAnsi="Times New Roman"/>
                <w:color w:val="auto"/>
              </w:rPr>
            </w:pPr>
            <w:r>
              <w:rPr>
                <w:rFonts w:hint="eastAsia" w:ascii="Times New Roman" w:hAnsi="Times New Roman"/>
                <w:color w:val="auto"/>
              </w:rPr>
              <w:t>至2</w:t>
            </w:r>
            <w:r>
              <w:rPr>
                <w:rFonts w:ascii="Times New Roman" w:hAnsi="Times New Roman"/>
                <w:color w:val="auto"/>
              </w:rPr>
              <w:t>020</w:t>
            </w:r>
            <w:r>
              <w:rPr>
                <w:rFonts w:hint="eastAsia" w:ascii="Times New Roman" w:hAnsi="Times New Roman"/>
                <w:color w:val="auto"/>
              </w:rPr>
              <w:t>年，三亚</w:t>
            </w:r>
            <w:r>
              <w:rPr>
                <w:rFonts w:ascii="Times New Roman" w:hAnsi="Times New Roman"/>
                <w:color w:val="auto"/>
              </w:rPr>
              <w:t>市建设工程项目“装配式建筑实施方案”通过专家评审49个，建筑总面积449万</w:t>
            </w:r>
            <w:r>
              <w:rPr>
                <w:rFonts w:hint="eastAsia" w:ascii="Times New Roman" w:hAnsi="Times New Roman"/>
                <w:color w:val="auto"/>
              </w:rPr>
              <w:t>㎡，装配式建筑面积3</w:t>
            </w:r>
            <w:r>
              <w:rPr>
                <w:rFonts w:ascii="Times New Roman" w:hAnsi="Times New Roman"/>
                <w:color w:val="auto"/>
              </w:rPr>
              <w:t>17万</w:t>
            </w:r>
            <w:r>
              <w:rPr>
                <w:rFonts w:hint="eastAsia" w:ascii="Times New Roman" w:hAnsi="Times New Roman"/>
                <w:color w:val="auto"/>
              </w:rPr>
              <w:t>㎡</w:t>
            </w:r>
            <w:r>
              <w:rPr>
                <w:rFonts w:ascii="Times New Roman" w:hAnsi="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6" w:hRule="atLeast"/>
          <w:jc w:val="center"/>
        </w:trPr>
        <w:tc>
          <w:tcPr>
            <w:tcW w:w="560" w:type="dxa"/>
            <w:vAlign w:val="center"/>
          </w:tcPr>
          <w:p>
            <w:pPr>
              <w:pStyle w:val="12"/>
              <w:rPr>
                <w:rFonts w:ascii="Times New Roman" w:hAnsi="Times New Roman"/>
                <w:color w:val="auto"/>
              </w:rPr>
            </w:pPr>
            <w:r>
              <w:rPr>
                <w:rFonts w:ascii="Times New Roman" w:hAnsi="Times New Roman"/>
                <w:color w:val="auto"/>
              </w:rPr>
              <w:t>5</w:t>
            </w:r>
          </w:p>
        </w:tc>
        <w:tc>
          <w:tcPr>
            <w:tcW w:w="1073" w:type="dxa"/>
            <w:vAlign w:val="center"/>
          </w:tcPr>
          <w:p>
            <w:pPr>
              <w:pStyle w:val="12"/>
              <w:rPr>
                <w:rFonts w:ascii="Times New Roman" w:hAnsi="Times New Roman"/>
                <w:color w:val="auto"/>
              </w:rPr>
            </w:pPr>
            <w:r>
              <w:rPr>
                <w:rFonts w:ascii="Times New Roman" w:hAnsi="Times New Roman"/>
                <w:color w:val="auto"/>
              </w:rPr>
              <w:t>全装修</w:t>
            </w:r>
          </w:p>
        </w:tc>
        <w:tc>
          <w:tcPr>
            <w:tcW w:w="3244" w:type="dxa"/>
            <w:vAlign w:val="center"/>
          </w:tcPr>
          <w:p>
            <w:pPr>
              <w:pStyle w:val="12"/>
              <w:rPr>
                <w:rFonts w:ascii="Times New Roman" w:hAnsi="Times New Roman"/>
                <w:color w:val="auto"/>
              </w:rPr>
            </w:pPr>
            <w:r>
              <w:rPr>
                <w:rFonts w:ascii="Times New Roman" w:hAnsi="Times New Roman"/>
                <w:color w:val="auto"/>
              </w:rPr>
              <w:t>自2017年7月1日起，全省新建商品住宅全部实行全装修，实现成品交付。</w:t>
            </w:r>
          </w:p>
        </w:tc>
        <w:tc>
          <w:tcPr>
            <w:tcW w:w="916" w:type="dxa"/>
            <w:vAlign w:val="center"/>
          </w:tcPr>
          <w:p>
            <w:pPr>
              <w:pStyle w:val="12"/>
              <w:rPr>
                <w:rFonts w:ascii="Times New Roman" w:hAnsi="Times New Roman"/>
                <w:color w:val="auto"/>
              </w:rPr>
            </w:pPr>
            <w:r>
              <w:rPr>
                <w:rFonts w:ascii="Times New Roman" w:hAnsi="Times New Roman"/>
                <w:color w:val="auto"/>
              </w:rPr>
              <w:t>已完成</w:t>
            </w:r>
          </w:p>
        </w:tc>
        <w:tc>
          <w:tcPr>
            <w:tcW w:w="3133" w:type="dxa"/>
            <w:vAlign w:val="center"/>
          </w:tcPr>
          <w:p>
            <w:pPr>
              <w:pStyle w:val="12"/>
              <w:rPr>
                <w:rFonts w:ascii="Times New Roman" w:hAnsi="Times New Roman"/>
                <w:color w:val="auto"/>
              </w:rPr>
            </w:pPr>
            <w:r>
              <w:rPr>
                <w:rFonts w:ascii="Times New Roman" w:hAnsi="Times New Roman"/>
                <w:color w:val="auto"/>
              </w:rPr>
              <w:t>自2017年7月1日起，三亚新建商品住宅全部实行全装修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6" w:hRule="atLeast"/>
          <w:jc w:val="center"/>
        </w:trPr>
        <w:tc>
          <w:tcPr>
            <w:tcW w:w="560" w:type="dxa"/>
            <w:vAlign w:val="center"/>
          </w:tcPr>
          <w:p>
            <w:pPr>
              <w:pStyle w:val="12"/>
              <w:rPr>
                <w:rFonts w:ascii="Times New Roman" w:hAnsi="Times New Roman"/>
                <w:color w:val="auto"/>
              </w:rPr>
            </w:pPr>
            <w:r>
              <w:rPr>
                <w:rFonts w:ascii="Times New Roman" w:hAnsi="Times New Roman"/>
                <w:color w:val="auto"/>
              </w:rPr>
              <w:t>6</w:t>
            </w:r>
          </w:p>
        </w:tc>
        <w:tc>
          <w:tcPr>
            <w:tcW w:w="1073" w:type="dxa"/>
            <w:vAlign w:val="center"/>
          </w:tcPr>
          <w:p>
            <w:pPr>
              <w:pStyle w:val="12"/>
              <w:rPr>
                <w:rFonts w:ascii="Times New Roman" w:hAnsi="Times New Roman"/>
                <w:color w:val="auto"/>
              </w:rPr>
            </w:pPr>
            <w:r>
              <w:rPr>
                <w:rFonts w:ascii="Times New Roman" w:hAnsi="Times New Roman"/>
                <w:color w:val="auto"/>
              </w:rPr>
              <w:t>太阳能</w:t>
            </w:r>
          </w:p>
          <w:p>
            <w:pPr>
              <w:pStyle w:val="12"/>
              <w:rPr>
                <w:rFonts w:ascii="Times New Roman" w:hAnsi="Times New Roman"/>
                <w:color w:val="auto"/>
              </w:rPr>
            </w:pPr>
            <w:r>
              <w:rPr>
                <w:rFonts w:ascii="Times New Roman" w:hAnsi="Times New Roman"/>
                <w:color w:val="auto"/>
              </w:rPr>
              <w:t>利用</w:t>
            </w:r>
          </w:p>
        </w:tc>
        <w:tc>
          <w:tcPr>
            <w:tcW w:w="3244" w:type="dxa"/>
            <w:vAlign w:val="center"/>
          </w:tcPr>
          <w:p>
            <w:pPr>
              <w:pStyle w:val="12"/>
              <w:rPr>
                <w:rFonts w:ascii="Times New Roman" w:hAnsi="Times New Roman"/>
                <w:color w:val="auto"/>
              </w:rPr>
            </w:pPr>
            <w:r>
              <w:rPr>
                <w:rFonts w:ascii="Times New Roman" w:hAnsi="Times New Roman"/>
                <w:color w:val="auto"/>
              </w:rPr>
              <w:t>拓展可再生能源建筑应用形式，继续扩大可再生能源建筑规模化应用，实现太阳能光伏建筑一体化应用初具规模</w:t>
            </w:r>
          </w:p>
        </w:tc>
        <w:tc>
          <w:tcPr>
            <w:tcW w:w="916" w:type="dxa"/>
            <w:vAlign w:val="center"/>
          </w:tcPr>
          <w:p>
            <w:pPr>
              <w:pStyle w:val="12"/>
              <w:rPr>
                <w:rFonts w:ascii="Times New Roman" w:hAnsi="Times New Roman"/>
                <w:color w:val="auto"/>
              </w:rPr>
            </w:pPr>
            <w:r>
              <w:rPr>
                <w:rFonts w:ascii="Times New Roman" w:hAnsi="Times New Roman"/>
                <w:color w:val="auto"/>
              </w:rPr>
              <w:t>已完成</w:t>
            </w:r>
          </w:p>
        </w:tc>
        <w:tc>
          <w:tcPr>
            <w:tcW w:w="3133" w:type="dxa"/>
            <w:vAlign w:val="center"/>
          </w:tcPr>
          <w:p>
            <w:pPr>
              <w:pStyle w:val="12"/>
              <w:jc w:val="left"/>
              <w:rPr>
                <w:rFonts w:ascii="Times New Roman" w:hAnsi="Times New Roman"/>
                <w:color w:val="auto"/>
              </w:rPr>
            </w:pPr>
            <w:r>
              <w:rPr>
                <w:rFonts w:ascii="Times New Roman" w:hAnsi="Times New Roman"/>
                <w:color w:val="auto"/>
              </w:rPr>
              <w:t>2016-2020</w:t>
            </w:r>
            <w:r>
              <w:rPr>
                <w:rFonts w:hint="eastAsia" w:ascii="Times New Roman" w:hAnsi="Times New Roman"/>
                <w:color w:val="auto"/>
              </w:rPr>
              <w:t>年</w:t>
            </w:r>
            <w:r>
              <w:rPr>
                <w:rFonts w:ascii="Times New Roman" w:hAnsi="Times New Roman"/>
                <w:color w:val="auto"/>
              </w:rPr>
              <w:t>建成并投入使用太阳能热水应用项目256个，总建筑面积1472</w:t>
            </w:r>
            <w:r>
              <w:rPr>
                <w:rFonts w:hint="eastAsia" w:ascii="Times New Roman" w:hAnsi="Times New Roman"/>
                <w:color w:val="auto"/>
              </w:rPr>
              <w:t>.</w:t>
            </w:r>
            <w:r>
              <w:rPr>
                <w:rFonts w:ascii="Times New Roman" w:hAnsi="Times New Roman"/>
                <w:color w:val="auto"/>
              </w:rPr>
              <w:t>33万</w:t>
            </w:r>
            <w:r>
              <w:rPr>
                <w:rFonts w:hint="eastAsia" w:ascii="Times New Roman" w:hAnsi="Times New Roman"/>
                <w:color w:val="auto"/>
              </w:rPr>
              <w:t>㎡</w:t>
            </w:r>
            <w:r>
              <w:rPr>
                <w:rFonts w:ascii="Times New Roman" w:hAnsi="Times New Roman"/>
                <w:color w:val="auto"/>
              </w:rPr>
              <w:t>，其中太阳能应用面积907</w:t>
            </w:r>
            <w:r>
              <w:rPr>
                <w:rFonts w:hint="eastAsia" w:ascii="Times New Roman" w:hAnsi="Times New Roman"/>
                <w:color w:val="auto"/>
              </w:rPr>
              <w:t>.</w:t>
            </w:r>
            <w:r>
              <w:rPr>
                <w:rFonts w:ascii="Times New Roman" w:hAnsi="Times New Roman"/>
                <w:color w:val="auto"/>
              </w:rPr>
              <w:t>93</w:t>
            </w:r>
            <w:r>
              <w:rPr>
                <w:rFonts w:hint="eastAsia" w:ascii="Times New Roman" w:hAnsi="Times New Roman"/>
                <w:color w:val="auto"/>
              </w:rPr>
              <w:t>㎡</w:t>
            </w:r>
          </w:p>
        </w:tc>
      </w:tr>
    </w:tbl>
    <w:p>
      <w:pPr>
        <w:ind w:firstLine="360"/>
        <w:rPr>
          <w:color w:val="auto"/>
          <w:sz w:val="18"/>
          <w:szCs w:val="18"/>
        </w:rPr>
      </w:pPr>
      <w:r>
        <w:rPr>
          <w:rFonts w:hint="eastAsia"/>
          <w:color w:val="auto"/>
          <w:sz w:val="18"/>
          <w:szCs w:val="18"/>
        </w:rPr>
        <w:t>说明：本表为《三亚市建筑节能与绿色建筑“十三五”专项规划》目标完成情况</w:t>
      </w:r>
    </w:p>
    <w:p>
      <w:pPr>
        <w:ind w:firstLine="360"/>
        <w:rPr>
          <w:color w:val="auto"/>
          <w:sz w:val="18"/>
          <w:szCs w:val="18"/>
        </w:rPr>
      </w:pPr>
    </w:p>
    <w:p>
      <w:pPr>
        <w:pStyle w:val="3"/>
        <w:spacing w:before="156" w:after="156"/>
        <w:rPr>
          <w:color w:val="auto"/>
        </w:rPr>
      </w:pPr>
      <w:bookmarkStart w:id="204" w:name="_Toc2329"/>
      <w:r>
        <w:rPr>
          <w:color w:val="auto"/>
        </w:rPr>
        <w:t>3.</w:t>
      </w:r>
      <w:r>
        <w:rPr>
          <w:rFonts w:hint="eastAsia"/>
          <w:color w:val="auto"/>
        </w:rPr>
        <w:t>2民用建筑能耗分析及能耗</w:t>
      </w:r>
      <w:r>
        <w:rPr>
          <w:color w:val="auto"/>
        </w:rPr>
        <w:t>指标评估</w:t>
      </w:r>
      <w:bookmarkEnd w:id="204"/>
    </w:p>
    <w:p>
      <w:pPr>
        <w:rPr>
          <w:color w:val="auto"/>
        </w:rPr>
      </w:pPr>
      <w:r>
        <w:rPr>
          <w:rFonts w:hint="eastAsia"/>
          <w:color w:val="auto"/>
        </w:rPr>
        <w:t>根据民用建筑用能特点，民用建筑用能以建筑能耗指标来评估。目前，国家和海南均已发布相关能耗标准和能耗限额规定。2016年，国家发布了《民用建筑能耗标准》（GBT51161-2016）；2014-2016年，海南省分别编制并发布地方标准《宾馆酒店单位综合能耗和电耗限额》（DB46/259-2013）、《行政机关能耗限额》（DB46/T340—2015）、《普通高等院校能耗限额》（DB46/T373—2016）、《商场超市单位电耗限额》（DB46297—2014）；2019年，省机关事务管理局主导编制《海南省公共机构能耗标准》。这些标准以实际的建筑能耗数据为基础，制定了符合我国当前国情和海南实际情况的建筑能耗指标，以此强化对建筑终端用能强度的控制与引导。</w:t>
      </w:r>
    </w:p>
    <w:p>
      <w:pPr>
        <w:rPr>
          <w:color w:val="auto"/>
        </w:rPr>
      </w:pPr>
      <w:r>
        <w:rPr>
          <w:rFonts w:hint="eastAsia"/>
          <w:color w:val="auto"/>
        </w:rPr>
        <w:t>在目前建筑节能工作的“过程节能”的基础上，通过确定建筑能耗指标，可以牵引与规范建筑实际运行与管理行为，达到降低建筑物的实际运行能耗（即“结果节能”）的最终目的。因此，对三亚民用建筑能耗指标评估可以以实际的建筑能耗数据为基础，将三亚用能现状与国家、海南规定的能耗标准进行对比分析，对三亚市主要建筑类型能耗指标进行评估，可以看出三亚建筑节能实际情况。在此基础上，可以找出目前节能工作存在的问题，提出具体的节能改进措施，最终根据实际的建筑用能水平制定三亚民用建筑用能标准，并用于指导未来新建项目节能设计，形成“分类管理+能耗指标”的工作机制。</w:t>
      </w:r>
    </w:p>
    <w:p>
      <w:pPr>
        <w:pStyle w:val="4"/>
        <w:rPr>
          <w:color w:val="auto"/>
        </w:rPr>
      </w:pPr>
      <w:bookmarkStart w:id="205" w:name="_Toc24733"/>
      <w:r>
        <w:rPr>
          <w:rFonts w:hint="eastAsia"/>
          <w:color w:val="auto"/>
        </w:rPr>
        <w:t>3.2.1公建</w:t>
      </w:r>
      <w:bookmarkEnd w:id="205"/>
    </w:p>
    <w:p>
      <w:pPr>
        <w:rPr>
          <w:color w:val="auto"/>
        </w:rPr>
      </w:pPr>
      <w:r>
        <w:rPr>
          <w:rFonts w:hint="eastAsia"/>
          <w:color w:val="auto"/>
        </w:rPr>
        <w:t>根据《民用建筑能耗标准》，规定建筑能耗的公共建筑类型主要包括办公建筑、旅馆、商场等。其中，办公建筑分为党政机关办公建筑和商业办公建筑。公共建筑按规定分为A类或B类：可通过开启外窗方式利用自然通风达到室内温度舒适要求，从而减少空调系统运行时间</w:t>
      </w:r>
      <w:r>
        <w:rPr>
          <w:rFonts w:hint="eastAsia" w:asciiTheme="minorEastAsia" w:hAnsiTheme="minorEastAsia" w:eastAsiaTheme="minorEastAsia" w:cstheme="minorEastAsia"/>
          <w:color w:val="auto"/>
        </w:rPr>
        <w:t>,</w:t>
      </w:r>
      <w:r>
        <w:rPr>
          <w:rFonts w:hint="eastAsia"/>
          <w:color w:val="auto"/>
        </w:rPr>
        <w:t>减少能源消耗的公共建筑应为A类公共建筑；因建筑功能、规模等限制或受建筑物所在周边环境的制约，不能通过开启外窗方式利用自然通风，而需常年依靠机械通风和空调系统维持室内温度舒适要求的公共建筑应为B类公共建筑。</w:t>
      </w:r>
      <w:r>
        <w:rPr>
          <w:rStyle w:val="38"/>
          <w:rFonts w:hint="eastAsia"/>
          <w:color w:val="auto"/>
        </w:rPr>
        <w:footnoteReference w:id="2"/>
      </w:r>
    </w:p>
    <w:p>
      <w:pPr>
        <w:rPr>
          <w:color w:val="auto"/>
        </w:rPr>
      </w:pPr>
      <w:r>
        <w:rPr>
          <w:rFonts w:hint="eastAsia"/>
          <w:color w:val="auto"/>
        </w:rPr>
        <w:t>依据能源审计结果，三亚市党政机关办公建筑单位面积电耗为48.84kWh/m</w:t>
      </w:r>
      <w:r>
        <w:rPr>
          <w:rFonts w:hint="eastAsia"/>
          <w:color w:val="auto"/>
          <w:vertAlign w:val="superscript"/>
        </w:rPr>
        <w:t>2</w:t>
      </w:r>
      <w:r>
        <w:rPr>
          <w:rFonts w:hint="eastAsia"/>
          <w:color w:val="auto"/>
        </w:rPr>
        <w:t>，非党政机关办公建筑平均单位面积电耗为78.46kWh/m</w:t>
      </w:r>
      <w:r>
        <w:rPr>
          <w:rFonts w:hint="eastAsia"/>
          <w:color w:val="auto"/>
          <w:vertAlign w:val="superscript"/>
        </w:rPr>
        <w:t>2</w:t>
      </w:r>
      <w:r>
        <w:rPr>
          <w:rFonts w:hint="eastAsia"/>
          <w:color w:val="auto"/>
        </w:rPr>
        <w:t>，商场建筑平均单位面积电耗为133.58kWh/m</w:t>
      </w:r>
      <w:r>
        <w:rPr>
          <w:rFonts w:hint="eastAsia"/>
          <w:color w:val="auto"/>
          <w:vertAlign w:val="superscript"/>
        </w:rPr>
        <w:t>2</w:t>
      </w:r>
      <w:r>
        <w:rPr>
          <w:rFonts w:hint="eastAsia"/>
          <w:color w:val="auto"/>
        </w:rPr>
        <w:t>，旅馆建筑平均单位面积电耗为147.3kWh/m</w:t>
      </w:r>
      <w:r>
        <w:rPr>
          <w:rFonts w:hint="eastAsia"/>
          <w:color w:val="auto"/>
          <w:vertAlign w:val="superscript"/>
        </w:rPr>
        <w:t>2</w:t>
      </w:r>
      <w:r>
        <w:rPr>
          <w:rFonts w:hint="eastAsia"/>
          <w:color w:val="auto"/>
        </w:rPr>
        <w:t>。居住建筑单位面积电耗为54.78kWh/m</w:t>
      </w:r>
      <w:r>
        <w:rPr>
          <w:rFonts w:hint="eastAsia"/>
          <w:color w:val="auto"/>
          <w:vertAlign w:val="superscript"/>
        </w:rPr>
        <w:t>2</w:t>
      </w:r>
      <w:r>
        <w:rPr>
          <w:rFonts w:hint="eastAsia"/>
          <w:color w:val="auto"/>
        </w:rPr>
        <w:t>。</w:t>
      </w:r>
      <w:r>
        <w:rPr>
          <w:rStyle w:val="38"/>
          <w:rFonts w:hint="eastAsia"/>
          <w:color w:val="auto"/>
        </w:rPr>
        <w:footnoteReference w:id="3"/>
      </w:r>
    </w:p>
    <w:p>
      <w:pPr>
        <w:rPr>
          <w:color w:val="auto"/>
        </w:rPr>
      </w:pPr>
      <w:r>
        <w:rPr>
          <w:rFonts w:hint="eastAsia"/>
          <w:color w:val="auto"/>
        </w:rPr>
        <w:t>将三亚民用建筑用能情况与《民用建筑能耗标准》（GBT51161-2016）的约束值和引导值进行对比（见表3-2），可以看出行政机关办公、非行政机关办公楼用能低于国家标准，旅馆建筑用电高于国家标准，尤其是早期建设的旅馆，需要进行节能改造。商场建筑中，超市基本低于国家标准，但大型购物中心略高于国家标准，有提升的空间。</w:t>
      </w:r>
    </w:p>
    <w:p>
      <w:pPr>
        <w:rPr>
          <w:color w:val="auto"/>
        </w:rPr>
      </w:pPr>
      <w:r>
        <w:rPr>
          <w:rFonts w:hint="eastAsia"/>
          <w:color w:val="auto"/>
        </w:rPr>
        <w:t>三亚公共建筑能耗与《海南省公共机构能耗定额标准》以及能耗限额标准</w:t>
      </w:r>
      <w:r>
        <w:rPr>
          <w:color w:val="auto"/>
        </w:rPr>
        <w:t>进行对比</w:t>
      </w:r>
      <w:r>
        <w:rPr>
          <w:rFonts w:hint="eastAsia"/>
          <w:color w:val="auto"/>
        </w:rPr>
        <w:t>见表3-3、表3-4。</w:t>
      </w:r>
    </w:p>
    <w:p>
      <w:pPr>
        <w:rPr>
          <w:color w:val="auto"/>
        </w:rPr>
      </w:pPr>
      <w:r>
        <w:rPr>
          <w:rFonts w:hint="eastAsia"/>
          <w:color w:val="auto"/>
        </w:rPr>
        <w:br w:type="page"/>
      </w:r>
    </w:p>
    <w:p>
      <w:pPr>
        <w:pStyle w:val="10"/>
        <w:spacing w:before="312"/>
        <w:rPr>
          <w:color w:val="auto"/>
        </w:rPr>
      </w:pPr>
      <w:r>
        <w:rPr>
          <w:rFonts w:ascii="Times New Roman" w:hAnsi="Times New Roman"/>
          <w:color w:val="auto"/>
          <w:sz w:val="21"/>
          <w:szCs w:val="21"/>
        </w:rPr>
        <w:t>表3-2 三亚公共建筑能耗与《民用建筑能耗标准》对比[kW·h／(m</w:t>
      </w:r>
      <w:r>
        <w:rPr>
          <w:rFonts w:ascii="Times New Roman" w:hAnsi="Times New Roman"/>
          <w:color w:val="auto"/>
          <w:sz w:val="21"/>
          <w:szCs w:val="21"/>
          <w:vertAlign w:val="superscript"/>
        </w:rPr>
        <w:t>2</w:t>
      </w:r>
      <w:r>
        <w:rPr>
          <w:rFonts w:ascii="Times New Roman" w:hAnsi="Times New Roman"/>
          <w:color w:val="auto"/>
          <w:sz w:val="21"/>
          <w:szCs w:val="21"/>
        </w:rPr>
        <w:t>·a)]</w:t>
      </w:r>
    </w:p>
    <w:tbl>
      <w:tblPr>
        <w:tblStyle w:val="39"/>
        <w:tblW w:w="8280" w:type="dxa"/>
        <w:jc w:val="center"/>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
      <w:tblGrid>
        <w:gridCol w:w="2142"/>
        <w:gridCol w:w="626"/>
        <w:gridCol w:w="2139"/>
        <w:gridCol w:w="1387"/>
        <w:gridCol w:w="993"/>
        <w:gridCol w:w="993"/>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447" w:hRule="atLeast"/>
          <w:jc w:val="center"/>
        </w:trPr>
        <w:tc>
          <w:tcPr>
            <w:tcW w:w="2142" w:type="dxa"/>
            <w:vMerge w:val="restart"/>
            <w:tcBorders>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类型</w:t>
            </w:r>
          </w:p>
        </w:tc>
        <w:tc>
          <w:tcPr>
            <w:tcW w:w="626" w:type="dxa"/>
            <w:vMerge w:val="restart"/>
            <w:tcBorders>
              <w:left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类别</w:t>
            </w:r>
          </w:p>
        </w:tc>
        <w:tc>
          <w:tcPr>
            <w:tcW w:w="2139" w:type="dxa"/>
            <w:vMerge w:val="restart"/>
            <w:tcBorders>
              <w:left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分项</w:t>
            </w:r>
          </w:p>
        </w:tc>
        <w:tc>
          <w:tcPr>
            <w:tcW w:w="1387" w:type="dxa"/>
            <w:vMerge w:val="restart"/>
            <w:tcBorders>
              <w:left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调研审计数据</w:t>
            </w:r>
          </w:p>
        </w:tc>
        <w:tc>
          <w:tcPr>
            <w:tcW w:w="1986" w:type="dxa"/>
            <w:gridSpan w:val="2"/>
            <w:tcBorders>
              <w:left w:val="single" w:color="000000" w:sz="4" w:space="0"/>
              <w:bottom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国家标准</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447" w:hRule="atLeast"/>
          <w:jc w:val="center"/>
        </w:trPr>
        <w:tc>
          <w:tcPr>
            <w:tcW w:w="2142" w:type="dxa"/>
            <w:vMerge w:val="continue"/>
            <w:tcBorders>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626"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2139"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1387"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约束值</w:t>
            </w:r>
          </w:p>
        </w:tc>
        <w:tc>
          <w:tcPr>
            <w:tcW w:w="993" w:type="dxa"/>
            <w:tcBorders>
              <w:top w:val="single" w:color="000000" w:sz="4" w:space="0"/>
              <w:left w:val="single" w:color="000000" w:sz="4" w:space="0"/>
              <w:bottom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引导值</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447" w:hRule="atLeast"/>
          <w:jc w:val="center"/>
        </w:trPr>
        <w:tc>
          <w:tcPr>
            <w:tcW w:w="2142" w:type="dxa"/>
            <w:tcBorders>
              <w:top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党政机关办公</w:t>
            </w:r>
          </w:p>
        </w:tc>
        <w:tc>
          <w:tcPr>
            <w:tcW w:w="62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hint="eastAsia" w:ascii="Times New Roman" w:hAnsi="Times New Roman"/>
                <w:color w:val="auto"/>
              </w:rPr>
              <w:t>-</w:t>
            </w:r>
          </w:p>
        </w:tc>
        <w:tc>
          <w:tcPr>
            <w:tcW w:w="213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hint="eastAsia" w:ascii="Times New Roman" w:hAnsi="Times New Roman"/>
                <w:color w:val="auto"/>
              </w:rPr>
              <w:t>-</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48.84</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65</w:t>
            </w:r>
          </w:p>
        </w:tc>
        <w:tc>
          <w:tcPr>
            <w:tcW w:w="993" w:type="dxa"/>
            <w:tcBorders>
              <w:top w:val="single" w:color="000000" w:sz="4" w:space="0"/>
              <w:left w:val="single" w:color="000000" w:sz="4" w:space="0"/>
              <w:bottom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50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447" w:hRule="atLeast"/>
          <w:jc w:val="center"/>
        </w:trPr>
        <w:tc>
          <w:tcPr>
            <w:tcW w:w="2142" w:type="dxa"/>
            <w:tcBorders>
              <w:top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非党政机关办公</w:t>
            </w:r>
          </w:p>
        </w:tc>
        <w:tc>
          <w:tcPr>
            <w:tcW w:w="62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hint="eastAsia" w:ascii="Times New Roman" w:hAnsi="Times New Roman"/>
                <w:color w:val="auto"/>
              </w:rPr>
              <w:t>-</w:t>
            </w:r>
          </w:p>
        </w:tc>
        <w:tc>
          <w:tcPr>
            <w:tcW w:w="213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hint="eastAsia" w:ascii="Times New Roman" w:hAnsi="Times New Roman"/>
                <w:color w:val="auto"/>
              </w:rPr>
              <w:t>-</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78.46</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80</w:t>
            </w:r>
          </w:p>
        </w:tc>
        <w:tc>
          <w:tcPr>
            <w:tcW w:w="993" w:type="dxa"/>
            <w:tcBorders>
              <w:top w:val="single" w:color="000000" w:sz="4" w:space="0"/>
              <w:left w:val="single" w:color="000000" w:sz="4" w:space="0"/>
              <w:bottom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65</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447" w:hRule="atLeast"/>
          <w:jc w:val="center"/>
        </w:trPr>
        <w:tc>
          <w:tcPr>
            <w:tcW w:w="2142" w:type="dxa"/>
            <w:vMerge w:val="restart"/>
            <w:tcBorders>
              <w:top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旅馆</w:t>
            </w:r>
          </w:p>
        </w:tc>
        <w:tc>
          <w:tcPr>
            <w:tcW w:w="626"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A类</w:t>
            </w:r>
          </w:p>
        </w:tc>
        <w:tc>
          <w:tcPr>
            <w:tcW w:w="213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三星级</w:t>
            </w:r>
          </w:p>
        </w:tc>
        <w:tc>
          <w:tcPr>
            <w:tcW w:w="1387"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hint="eastAsia" w:ascii="Times New Roman" w:hAnsi="Times New Roman"/>
                <w:color w:val="auto"/>
              </w:rPr>
              <w:t>-</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100</w:t>
            </w:r>
          </w:p>
        </w:tc>
        <w:tc>
          <w:tcPr>
            <w:tcW w:w="993" w:type="dxa"/>
            <w:tcBorders>
              <w:top w:val="single" w:color="000000" w:sz="4" w:space="0"/>
              <w:left w:val="single" w:color="000000" w:sz="4" w:space="0"/>
              <w:bottom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80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447" w:hRule="atLeast"/>
          <w:jc w:val="center"/>
        </w:trPr>
        <w:tc>
          <w:tcPr>
            <w:tcW w:w="2142" w:type="dxa"/>
            <w:vMerge w:val="continue"/>
            <w:tcBorders>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626" w:type="dxa"/>
            <w:vMerge w:val="continue"/>
            <w:tcBorders>
              <w:left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213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四星级</w:t>
            </w:r>
          </w:p>
        </w:tc>
        <w:tc>
          <w:tcPr>
            <w:tcW w:w="13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120</w:t>
            </w:r>
          </w:p>
        </w:tc>
        <w:tc>
          <w:tcPr>
            <w:tcW w:w="993" w:type="dxa"/>
            <w:tcBorders>
              <w:top w:val="single" w:color="000000" w:sz="4" w:space="0"/>
              <w:left w:val="single" w:color="000000" w:sz="4" w:space="0"/>
              <w:bottom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100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447" w:hRule="atLeast"/>
          <w:jc w:val="center"/>
        </w:trPr>
        <w:tc>
          <w:tcPr>
            <w:tcW w:w="2142" w:type="dxa"/>
            <w:vMerge w:val="continue"/>
            <w:tcBorders>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626"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213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五星级</w:t>
            </w:r>
          </w:p>
        </w:tc>
        <w:tc>
          <w:tcPr>
            <w:tcW w:w="13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130</w:t>
            </w:r>
          </w:p>
        </w:tc>
        <w:tc>
          <w:tcPr>
            <w:tcW w:w="993" w:type="dxa"/>
            <w:tcBorders>
              <w:top w:val="single" w:color="000000" w:sz="4" w:space="0"/>
              <w:left w:val="single" w:color="000000" w:sz="4" w:space="0"/>
              <w:bottom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110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447" w:hRule="atLeast"/>
          <w:jc w:val="center"/>
        </w:trPr>
        <w:tc>
          <w:tcPr>
            <w:tcW w:w="2142" w:type="dxa"/>
            <w:vMerge w:val="continue"/>
            <w:tcBorders>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626" w:type="dxa"/>
            <w:vMerge w:val="restart"/>
            <w:tcBorders>
              <w:left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B类</w:t>
            </w:r>
          </w:p>
        </w:tc>
        <w:tc>
          <w:tcPr>
            <w:tcW w:w="213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三星级</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100</w:t>
            </w:r>
          </w:p>
        </w:tc>
        <w:tc>
          <w:tcPr>
            <w:tcW w:w="993" w:type="dxa"/>
            <w:tcBorders>
              <w:top w:val="single" w:color="000000" w:sz="4" w:space="0"/>
              <w:left w:val="single" w:color="000000" w:sz="4" w:space="0"/>
              <w:bottom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80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447" w:hRule="atLeast"/>
          <w:jc w:val="center"/>
        </w:trPr>
        <w:tc>
          <w:tcPr>
            <w:tcW w:w="2142" w:type="dxa"/>
            <w:vMerge w:val="continue"/>
            <w:tcBorders>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626" w:type="dxa"/>
            <w:vMerge w:val="continue"/>
            <w:tcBorders>
              <w:left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213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四星级</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147.3</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120</w:t>
            </w:r>
          </w:p>
        </w:tc>
        <w:tc>
          <w:tcPr>
            <w:tcW w:w="993" w:type="dxa"/>
            <w:tcBorders>
              <w:top w:val="single" w:color="000000" w:sz="4" w:space="0"/>
              <w:left w:val="single" w:color="000000" w:sz="4" w:space="0"/>
              <w:bottom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100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447" w:hRule="atLeast"/>
          <w:jc w:val="center"/>
        </w:trPr>
        <w:tc>
          <w:tcPr>
            <w:tcW w:w="2142" w:type="dxa"/>
            <w:vMerge w:val="continue"/>
            <w:tcBorders>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626" w:type="dxa"/>
            <w:vMerge w:val="continue"/>
            <w:tcBorders>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213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五星级</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hint="eastAsia" w:ascii="Times New Roman" w:hAnsi="Times New Roman"/>
                <w:color w:val="auto"/>
              </w:rPr>
              <w:t>-</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130</w:t>
            </w:r>
          </w:p>
        </w:tc>
        <w:tc>
          <w:tcPr>
            <w:tcW w:w="993" w:type="dxa"/>
            <w:tcBorders>
              <w:top w:val="single" w:color="000000" w:sz="4" w:space="0"/>
              <w:left w:val="single" w:color="000000" w:sz="4" w:space="0"/>
              <w:bottom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110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447" w:hRule="atLeast"/>
          <w:jc w:val="center"/>
        </w:trPr>
        <w:tc>
          <w:tcPr>
            <w:tcW w:w="2142" w:type="dxa"/>
            <w:vMerge w:val="restart"/>
            <w:tcBorders>
              <w:top w:val="single" w:color="000000" w:sz="4" w:space="0"/>
              <w:bottom w:val="single" w:color="000000" w:sz="4" w:space="0"/>
              <w:right w:val="single" w:color="auto"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商场</w:t>
            </w:r>
          </w:p>
        </w:tc>
        <w:tc>
          <w:tcPr>
            <w:tcW w:w="626" w:type="dxa"/>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A类</w:t>
            </w:r>
          </w:p>
        </w:tc>
        <w:tc>
          <w:tcPr>
            <w:tcW w:w="2139"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一般购物中心、百货</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hint="eastAsia" w:ascii="Times New Roman" w:hAnsi="Times New Roman"/>
                <w:color w:val="auto"/>
              </w:rPr>
              <w:t>-</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120</w:t>
            </w:r>
          </w:p>
        </w:tc>
        <w:tc>
          <w:tcPr>
            <w:tcW w:w="993" w:type="dxa"/>
            <w:tcBorders>
              <w:top w:val="single" w:color="000000" w:sz="4" w:space="0"/>
              <w:left w:val="single" w:color="000000" w:sz="4" w:space="0"/>
              <w:bottom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100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447" w:hRule="atLeast"/>
          <w:jc w:val="center"/>
        </w:trPr>
        <w:tc>
          <w:tcPr>
            <w:tcW w:w="2142" w:type="dxa"/>
            <w:vMerge w:val="continue"/>
            <w:tcBorders>
              <w:top w:val="single" w:color="000000" w:sz="4" w:space="0"/>
              <w:bottom w:val="single" w:color="000000" w:sz="4" w:space="0"/>
              <w:right w:val="single" w:color="auto"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626"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2139"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一般超市</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133.58</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135</w:t>
            </w:r>
          </w:p>
        </w:tc>
        <w:tc>
          <w:tcPr>
            <w:tcW w:w="993" w:type="dxa"/>
            <w:tcBorders>
              <w:top w:val="single" w:color="000000" w:sz="4" w:space="0"/>
              <w:left w:val="single" w:color="000000" w:sz="4" w:space="0"/>
              <w:bottom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105</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447" w:hRule="atLeast"/>
          <w:jc w:val="center"/>
        </w:trPr>
        <w:tc>
          <w:tcPr>
            <w:tcW w:w="2142" w:type="dxa"/>
            <w:vMerge w:val="continue"/>
            <w:tcBorders>
              <w:top w:val="single" w:color="000000" w:sz="4" w:space="0"/>
              <w:bottom w:val="single" w:color="000000" w:sz="4" w:space="0"/>
              <w:right w:val="single" w:color="auto"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626" w:type="dxa"/>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B类</w:t>
            </w:r>
          </w:p>
        </w:tc>
        <w:tc>
          <w:tcPr>
            <w:tcW w:w="2139"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大型百货店</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hint="eastAsia" w:ascii="Times New Roman" w:hAnsi="Times New Roman"/>
                <w:color w:val="auto"/>
              </w:rPr>
              <w:t>-</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245</w:t>
            </w:r>
          </w:p>
        </w:tc>
        <w:tc>
          <w:tcPr>
            <w:tcW w:w="993" w:type="dxa"/>
            <w:tcBorders>
              <w:top w:val="single" w:color="000000" w:sz="4" w:space="0"/>
              <w:left w:val="single" w:color="000000" w:sz="4" w:space="0"/>
              <w:bottom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190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447" w:hRule="atLeast"/>
          <w:jc w:val="center"/>
        </w:trPr>
        <w:tc>
          <w:tcPr>
            <w:tcW w:w="2142" w:type="dxa"/>
            <w:vMerge w:val="continue"/>
            <w:tcBorders>
              <w:top w:val="single" w:color="000000" w:sz="4" w:space="0"/>
              <w:bottom w:val="single" w:color="000000" w:sz="4" w:space="0"/>
              <w:right w:val="single" w:color="auto"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626"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2139"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大型购物中心</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310.03</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300</w:t>
            </w:r>
          </w:p>
        </w:tc>
        <w:tc>
          <w:tcPr>
            <w:tcW w:w="993" w:type="dxa"/>
            <w:tcBorders>
              <w:top w:val="single" w:color="000000" w:sz="4" w:space="0"/>
              <w:left w:val="single" w:color="000000" w:sz="4" w:space="0"/>
              <w:bottom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245</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447" w:hRule="atLeast"/>
          <w:jc w:val="center"/>
        </w:trPr>
        <w:tc>
          <w:tcPr>
            <w:tcW w:w="2142" w:type="dxa"/>
            <w:vMerge w:val="continue"/>
            <w:tcBorders>
              <w:top w:val="single" w:color="000000" w:sz="4" w:space="0"/>
              <w:bottom w:val="single" w:color="000000" w:sz="4" w:space="0"/>
              <w:right w:val="single" w:color="auto"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626" w:type="dxa"/>
            <w:vMerge w:val="continue"/>
            <w:tcBorders>
              <w:top w:val="single" w:color="auto" w:sz="4" w:space="0"/>
              <w:left w:val="single" w:color="auto" w:sz="4" w:space="0"/>
              <w:bottom w:val="single" w:color="000000" w:sz="4" w:space="0"/>
              <w:right w:val="single" w:color="auto"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2139"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大型超市</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268.54</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290</w:t>
            </w:r>
          </w:p>
        </w:tc>
        <w:tc>
          <w:tcPr>
            <w:tcW w:w="993" w:type="dxa"/>
            <w:tcBorders>
              <w:top w:val="single" w:color="000000" w:sz="4" w:space="0"/>
              <w:left w:val="single" w:color="000000" w:sz="4" w:space="0"/>
              <w:bottom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240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649" w:hRule="atLeast"/>
          <w:jc w:val="center"/>
        </w:trPr>
        <w:tc>
          <w:tcPr>
            <w:tcW w:w="8280" w:type="dxa"/>
            <w:gridSpan w:val="6"/>
            <w:tcBorders>
              <w:top w:val="single" w:color="000000" w:sz="4" w:space="0"/>
              <w:left w:val="nil"/>
              <w:bottom w:val="nil"/>
              <w:right w:val="nil"/>
            </w:tcBorders>
            <w:shd w:val="clear" w:color="auto" w:fill="auto"/>
            <w:tcMar>
              <w:top w:w="10" w:type="dxa"/>
              <w:left w:w="10" w:type="dxa"/>
              <w:right w:w="10" w:type="dxa"/>
            </w:tcMar>
            <w:vAlign w:val="center"/>
          </w:tcPr>
          <w:p>
            <w:pPr>
              <w:ind w:firstLine="360"/>
              <w:rPr>
                <w:rFonts w:asciiTheme="minorEastAsia" w:hAnsiTheme="minorEastAsia" w:eastAsiaTheme="minorEastAsia"/>
                <w:color w:val="auto"/>
                <w:sz w:val="18"/>
                <w:szCs w:val="18"/>
              </w:rPr>
            </w:pPr>
            <w:r>
              <w:rPr>
                <w:rFonts w:asciiTheme="minorEastAsia" w:hAnsiTheme="minorEastAsia" w:eastAsiaTheme="minorEastAsia"/>
                <w:color w:val="auto"/>
                <w:sz w:val="18"/>
                <w:szCs w:val="18"/>
              </w:rPr>
              <w:t>数据来源：《民用建筑能耗标准》（GB/T51161-2016）</w:t>
            </w:r>
          </w:p>
        </w:tc>
      </w:tr>
    </w:tbl>
    <w:p>
      <w:pPr>
        <w:pStyle w:val="10"/>
        <w:spacing w:before="312"/>
        <w:rPr>
          <w:rFonts w:ascii="Times New Roman" w:hAnsi="Times New Roman"/>
          <w:color w:val="auto"/>
          <w:sz w:val="21"/>
          <w:szCs w:val="21"/>
        </w:rPr>
      </w:pPr>
      <w:r>
        <w:rPr>
          <w:rFonts w:ascii="Times New Roman" w:hAnsi="Times New Roman"/>
          <w:color w:val="auto"/>
          <w:sz w:val="21"/>
          <w:szCs w:val="21"/>
        </w:rPr>
        <w:t>表</w:t>
      </w:r>
      <w:r>
        <w:rPr>
          <w:rFonts w:hint="eastAsia" w:ascii="Times New Roman" w:hAnsi="Times New Roman"/>
          <w:color w:val="auto"/>
          <w:sz w:val="21"/>
          <w:szCs w:val="21"/>
        </w:rPr>
        <w:t>3-3 能耗限额规定建筑能耗值</w:t>
      </w:r>
    </w:p>
    <w:tbl>
      <w:tblPr>
        <w:tblStyle w:val="39"/>
        <w:tblW w:w="9320" w:type="dxa"/>
        <w:jc w:val="center"/>
        <w:tblInd w:w="0" w:type="dxa"/>
        <w:tblLayout w:type="fixed"/>
        <w:tblCellMar>
          <w:top w:w="0" w:type="dxa"/>
          <w:left w:w="0" w:type="dxa"/>
          <w:bottom w:w="0" w:type="dxa"/>
          <w:right w:w="0" w:type="dxa"/>
        </w:tblCellMar>
      </w:tblPr>
      <w:tblGrid>
        <w:gridCol w:w="996"/>
        <w:gridCol w:w="2169"/>
        <w:gridCol w:w="1820"/>
        <w:gridCol w:w="4335"/>
      </w:tblGrid>
      <w:tr>
        <w:tblPrEx>
          <w:tblLayout w:type="fixed"/>
          <w:tblCellMar>
            <w:top w:w="0" w:type="dxa"/>
            <w:left w:w="0" w:type="dxa"/>
            <w:bottom w:w="0" w:type="dxa"/>
            <w:right w:w="0" w:type="dxa"/>
          </w:tblCellMar>
        </w:tblPrEx>
        <w:trPr>
          <w:trHeight w:val="1092" w:hRule="atLeast"/>
          <w:jc w:val="center"/>
        </w:trPr>
        <w:tc>
          <w:tcPr>
            <w:tcW w:w="996" w:type="dxa"/>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szCs w:val="21"/>
              </w:rPr>
            </w:pPr>
            <w:r>
              <w:rPr>
                <w:rFonts w:ascii="Times New Roman" w:hAnsi="Times New Roman"/>
                <w:color w:val="auto"/>
                <w:szCs w:val="21"/>
              </w:rPr>
              <w:t>类型</w:t>
            </w:r>
          </w:p>
        </w:tc>
        <w:tc>
          <w:tcPr>
            <w:tcW w:w="2169" w:type="dxa"/>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szCs w:val="21"/>
              </w:rPr>
            </w:pPr>
            <w:r>
              <w:rPr>
                <w:rFonts w:ascii="Times New Roman" w:hAnsi="Times New Roman"/>
                <w:color w:val="auto"/>
                <w:szCs w:val="21"/>
              </w:rPr>
              <w:t>单位建筑面积综合能耗</w:t>
            </w:r>
          </w:p>
          <w:p>
            <w:pPr>
              <w:pStyle w:val="12"/>
              <w:rPr>
                <w:rFonts w:ascii="Times New Roman" w:hAnsi="Times New Roman"/>
                <w:color w:val="auto"/>
                <w:szCs w:val="21"/>
              </w:rPr>
            </w:pPr>
            <w:r>
              <w:rPr>
                <w:rFonts w:ascii="Times New Roman" w:hAnsi="Times New Roman"/>
                <w:color w:val="auto"/>
                <w:szCs w:val="21"/>
              </w:rPr>
              <w:t>[kgce/㎡]</w:t>
            </w:r>
          </w:p>
        </w:tc>
        <w:tc>
          <w:tcPr>
            <w:tcW w:w="1820" w:type="dxa"/>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szCs w:val="21"/>
              </w:rPr>
            </w:pPr>
            <w:r>
              <w:rPr>
                <w:rFonts w:ascii="Times New Roman" w:hAnsi="Times New Roman"/>
                <w:color w:val="auto"/>
                <w:szCs w:val="21"/>
              </w:rPr>
              <w:t>单位建筑面积电耗</w:t>
            </w:r>
          </w:p>
          <w:p>
            <w:pPr>
              <w:pStyle w:val="12"/>
              <w:rPr>
                <w:rFonts w:ascii="Times New Roman" w:hAnsi="Times New Roman"/>
                <w:color w:val="auto"/>
                <w:szCs w:val="21"/>
              </w:rPr>
            </w:pPr>
            <w:r>
              <w:rPr>
                <w:rFonts w:ascii="Times New Roman" w:hAnsi="Times New Roman"/>
                <w:color w:val="auto"/>
                <w:szCs w:val="21"/>
              </w:rPr>
              <w:t>[kW</w:t>
            </w:r>
            <w:r>
              <w:rPr>
                <w:rFonts w:ascii="Times New Roman" w:hAnsi="Times New Roman" w:eastAsia="黑体"/>
                <w:color w:val="auto"/>
                <w:szCs w:val="21"/>
              </w:rPr>
              <w:t>·</w:t>
            </w:r>
            <w:r>
              <w:rPr>
                <w:rFonts w:ascii="Times New Roman" w:hAnsi="Times New Roman"/>
                <w:color w:val="auto"/>
                <w:szCs w:val="21"/>
              </w:rPr>
              <w:t>h/㎡]</w:t>
            </w:r>
          </w:p>
        </w:tc>
        <w:tc>
          <w:tcPr>
            <w:tcW w:w="433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szCs w:val="21"/>
              </w:rPr>
            </w:pPr>
            <w:r>
              <w:rPr>
                <w:rFonts w:ascii="Times New Roman" w:hAnsi="Times New Roman"/>
                <w:color w:val="auto"/>
                <w:szCs w:val="21"/>
              </w:rPr>
              <w:t>标准名称</w:t>
            </w:r>
          </w:p>
        </w:tc>
      </w:tr>
      <w:tr>
        <w:tblPrEx>
          <w:tblLayout w:type="fixed"/>
          <w:tblCellMar>
            <w:top w:w="0" w:type="dxa"/>
            <w:left w:w="0" w:type="dxa"/>
            <w:bottom w:w="0" w:type="dxa"/>
            <w:right w:w="0" w:type="dxa"/>
          </w:tblCellMar>
        </w:tblPrEx>
        <w:trPr>
          <w:trHeight w:val="747"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szCs w:val="21"/>
              </w:rPr>
            </w:pPr>
            <w:r>
              <w:rPr>
                <w:rFonts w:ascii="Times New Roman" w:hAnsi="Times New Roman"/>
                <w:color w:val="auto"/>
                <w:szCs w:val="21"/>
              </w:rPr>
              <w:t>行政机关</w:t>
            </w:r>
          </w:p>
        </w:tc>
        <w:tc>
          <w:tcPr>
            <w:tcW w:w="216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szCs w:val="21"/>
              </w:rPr>
            </w:pPr>
            <w:r>
              <w:rPr>
                <w:rFonts w:ascii="Times New Roman" w:hAnsi="Times New Roman"/>
                <w:color w:val="auto"/>
                <w:szCs w:val="21"/>
              </w:rPr>
              <w:t>10.7</w:t>
            </w:r>
          </w:p>
        </w:tc>
        <w:tc>
          <w:tcPr>
            <w:tcW w:w="18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szCs w:val="21"/>
              </w:rPr>
            </w:pPr>
            <w:r>
              <w:rPr>
                <w:rFonts w:ascii="Times New Roman" w:hAnsi="Times New Roman"/>
                <w:color w:val="auto"/>
                <w:szCs w:val="21"/>
              </w:rPr>
              <w:t>83</w:t>
            </w:r>
          </w:p>
        </w:tc>
        <w:tc>
          <w:tcPr>
            <w:tcW w:w="433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szCs w:val="21"/>
              </w:rPr>
            </w:pPr>
            <w:r>
              <w:rPr>
                <w:rFonts w:ascii="Times New Roman" w:hAnsi="Times New Roman"/>
                <w:color w:val="auto"/>
                <w:szCs w:val="21"/>
              </w:rPr>
              <w:t>《行政机关能耗限额》（DB46/T340—2015）</w:t>
            </w:r>
          </w:p>
        </w:tc>
      </w:tr>
      <w:tr>
        <w:tblPrEx>
          <w:tblLayout w:type="fixed"/>
          <w:tblCellMar>
            <w:top w:w="0" w:type="dxa"/>
            <w:left w:w="0" w:type="dxa"/>
            <w:bottom w:w="0" w:type="dxa"/>
            <w:right w:w="0" w:type="dxa"/>
          </w:tblCellMar>
        </w:tblPrEx>
        <w:trPr>
          <w:trHeight w:val="560"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szCs w:val="21"/>
              </w:rPr>
            </w:pPr>
            <w:r>
              <w:rPr>
                <w:rFonts w:ascii="Times New Roman" w:hAnsi="Times New Roman"/>
                <w:color w:val="auto"/>
                <w:szCs w:val="21"/>
              </w:rPr>
              <w:t>高校</w:t>
            </w:r>
          </w:p>
        </w:tc>
        <w:tc>
          <w:tcPr>
            <w:tcW w:w="216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szCs w:val="21"/>
              </w:rPr>
            </w:pPr>
            <w:r>
              <w:rPr>
                <w:rFonts w:ascii="Times New Roman" w:hAnsi="Times New Roman"/>
                <w:color w:val="auto"/>
                <w:szCs w:val="21"/>
              </w:rPr>
              <w:t>6.20</w:t>
            </w:r>
          </w:p>
        </w:tc>
        <w:tc>
          <w:tcPr>
            <w:tcW w:w="18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szCs w:val="21"/>
              </w:rPr>
            </w:pPr>
            <w:r>
              <w:rPr>
                <w:rFonts w:ascii="Times New Roman" w:hAnsi="Times New Roman"/>
                <w:color w:val="auto"/>
                <w:szCs w:val="21"/>
              </w:rPr>
              <w:t>43</w:t>
            </w:r>
          </w:p>
        </w:tc>
        <w:tc>
          <w:tcPr>
            <w:tcW w:w="433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szCs w:val="21"/>
              </w:rPr>
            </w:pPr>
            <w:r>
              <w:rPr>
                <w:rFonts w:ascii="Times New Roman" w:hAnsi="Times New Roman"/>
                <w:color w:val="auto"/>
                <w:szCs w:val="21"/>
              </w:rPr>
              <w:t>《普通高等院校能耗限额》（DB46/T373—2016）</w:t>
            </w:r>
          </w:p>
        </w:tc>
      </w:tr>
      <w:tr>
        <w:tblPrEx>
          <w:tblLayout w:type="fixed"/>
          <w:tblCellMar>
            <w:top w:w="0" w:type="dxa"/>
            <w:left w:w="0" w:type="dxa"/>
            <w:bottom w:w="0" w:type="dxa"/>
            <w:right w:w="0" w:type="dxa"/>
          </w:tblCellMar>
        </w:tblPrEx>
        <w:trPr>
          <w:trHeight w:val="560"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szCs w:val="21"/>
              </w:rPr>
            </w:pPr>
            <w:r>
              <w:rPr>
                <w:rFonts w:ascii="Times New Roman" w:hAnsi="Times New Roman"/>
                <w:color w:val="auto"/>
                <w:szCs w:val="21"/>
              </w:rPr>
              <w:t>商场</w:t>
            </w:r>
          </w:p>
        </w:tc>
        <w:tc>
          <w:tcPr>
            <w:tcW w:w="216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szCs w:val="21"/>
              </w:rPr>
            </w:pPr>
            <w:r>
              <w:rPr>
                <w:rFonts w:hint="eastAsia" w:ascii="Times New Roman" w:hAnsi="Times New Roman"/>
                <w:color w:val="auto"/>
                <w:szCs w:val="21"/>
              </w:rPr>
              <w:t>-</w:t>
            </w:r>
          </w:p>
        </w:tc>
        <w:tc>
          <w:tcPr>
            <w:tcW w:w="18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szCs w:val="21"/>
              </w:rPr>
            </w:pPr>
            <w:r>
              <w:rPr>
                <w:rFonts w:ascii="Times New Roman" w:hAnsi="Times New Roman"/>
                <w:color w:val="auto"/>
                <w:szCs w:val="21"/>
              </w:rPr>
              <w:t>280</w:t>
            </w:r>
          </w:p>
        </w:tc>
        <w:tc>
          <w:tcPr>
            <w:tcW w:w="433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szCs w:val="21"/>
              </w:rPr>
            </w:pPr>
            <w:r>
              <w:rPr>
                <w:rFonts w:ascii="Times New Roman" w:hAnsi="Times New Roman"/>
                <w:color w:val="auto"/>
                <w:szCs w:val="21"/>
              </w:rPr>
              <w:t>《商场超市单位电耗限额》（DB46297—2014）</w:t>
            </w:r>
          </w:p>
        </w:tc>
      </w:tr>
      <w:tr>
        <w:tblPrEx>
          <w:tblLayout w:type="fixed"/>
          <w:tblCellMar>
            <w:top w:w="0" w:type="dxa"/>
            <w:left w:w="0" w:type="dxa"/>
            <w:bottom w:w="0" w:type="dxa"/>
            <w:right w:w="0" w:type="dxa"/>
          </w:tblCellMar>
        </w:tblPrEx>
        <w:trPr>
          <w:trHeight w:val="575"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szCs w:val="21"/>
              </w:rPr>
            </w:pPr>
            <w:r>
              <w:rPr>
                <w:rFonts w:ascii="Times New Roman" w:hAnsi="Times New Roman"/>
                <w:color w:val="auto"/>
                <w:szCs w:val="21"/>
              </w:rPr>
              <w:t>超市</w:t>
            </w:r>
          </w:p>
        </w:tc>
        <w:tc>
          <w:tcPr>
            <w:tcW w:w="216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szCs w:val="21"/>
              </w:rPr>
            </w:pPr>
            <w:r>
              <w:rPr>
                <w:rFonts w:hint="eastAsia" w:ascii="Times New Roman" w:hAnsi="Times New Roman"/>
                <w:color w:val="auto"/>
                <w:szCs w:val="21"/>
              </w:rPr>
              <w:t>-</w:t>
            </w:r>
          </w:p>
        </w:tc>
        <w:tc>
          <w:tcPr>
            <w:tcW w:w="18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szCs w:val="21"/>
              </w:rPr>
            </w:pPr>
            <w:r>
              <w:rPr>
                <w:rFonts w:ascii="Times New Roman" w:hAnsi="Times New Roman"/>
                <w:color w:val="auto"/>
                <w:szCs w:val="21"/>
              </w:rPr>
              <w:t>330</w:t>
            </w:r>
          </w:p>
        </w:tc>
        <w:tc>
          <w:tcPr>
            <w:tcW w:w="433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szCs w:val="21"/>
              </w:rPr>
            </w:pPr>
            <w:r>
              <w:rPr>
                <w:rFonts w:ascii="Times New Roman" w:hAnsi="Times New Roman"/>
                <w:color w:val="auto"/>
                <w:szCs w:val="21"/>
              </w:rPr>
              <w:t>《商场超市单位电耗限额》（DB46297—2014）</w:t>
            </w:r>
          </w:p>
        </w:tc>
      </w:tr>
    </w:tbl>
    <w:p>
      <w:pPr>
        <w:pStyle w:val="10"/>
        <w:spacing w:before="312"/>
        <w:rPr>
          <w:rFonts w:ascii="Times New Roman" w:hAnsi="Times New Roman"/>
          <w:color w:val="auto"/>
          <w:sz w:val="21"/>
          <w:szCs w:val="21"/>
        </w:rPr>
      </w:pPr>
    </w:p>
    <w:p>
      <w:pPr>
        <w:ind w:firstLine="420"/>
        <w:rPr>
          <w:color w:val="auto"/>
          <w:sz w:val="21"/>
          <w:szCs w:val="21"/>
        </w:rPr>
      </w:pPr>
    </w:p>
    <w:p>
      <w:pPr>
        <w:pStyle w:val="10"/>
        <w:spacing w:before="312"/>
        <w:rPr>
          <w:rFonts w:ascii="Times New Roman" w:hAnsi="Times New Roman"/>
          <w:color w:val="auto"/>
          <w:sz w:val="21"/>
          <w:szCs w:val="21"/>
        </w:rPr>
      </w:pPr>
      <w:r>
        <w:rPr>
          <w:rFonts w:hint="eastAsia" w:ascii="Times New Roman" w:hAnsi="Times New Roman"/>
          <w:color w:val="auto"/>
          <w:sz w:val="21"/>
          <w:szCs w:val="21"/>
        </w:rPr>
        <w:t>表3-4 三亚公共机构能耗定额</w:t>
      </w:r>
    </w:p>
    <w:tbl>
      <w:tblPr>
        <w:tblStyle w:val="39"/>
        <w:tblW w:w="87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0"/>
        <w:gridCol w:w="1825"/>
        <w:gridCol w:w="1020"/>
        <w:gridCol w:w="970"/>
        <w:gridCol w:w="910"/>
        <w:gridCol w:w="980"/>
        <w:gridCol w:w="957"/>
        <w:gridCol w:w="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blHeader/>
          <w:jc w:val="center"/>
        </w:trPr>
        <w:tc>
          <w:tcPr>
            <w:tcW w:w="3055" w:type="dxa"/>
            <w:gridSpan w:val="2"/>
            <w:vMerge w:val="restart"/>
            <w:vAlign w:val="center"/>
          </w:tcPr>
          <w:p>
            <w:pPr>
              <w:pStyle w:val="12"/>
              <w:rPr>
                <w:color w:val="auto"/>
              </w:rPr>
            </w:pPr>
            <w:r>
              <w:rPr>
                <w:color w:val="auto"/>
              </w:rPr>
              <w:t>公共机构类型</w:t>
            </w:r>
          </w:p>
        </w:tc>
        <w:tc>
          <w:tcPr>
            <w:tcW w:w="2900" w:type="dxa"/>
            <w:gridSpan w:val="3"/>
            <w:vAlign w:val="center"/>
          </w:tcPr>
          <w:p>
            <w:pPr>
              <w:pStyle w:val="12"/>
              <w:rPr>
                <w:color w:val="auto"/>
              </w:rPr>
            </w:pPr>
            <w:r>
              <w:rPr>
                <w:color w:val="auto"/>
              </w:rPr>
              <w:t>单位建筑面积能耗</w:t>
            </w:r>
          </w:p>
          <w:p>
            <w:pPr>
              <w:pStyle w:val="12"/>
              <w:rPr>
                <w:color w:val="auto"/>
              </w:rPr>
            </w:pPr>
            <w:r>
              <w:rPr>
                <w:color w:val="auto"/>
              </w:rPr>
              <w:t>kgce/（m</w:t>
            </w:r>
            <w:r>
              <w:rPr>
                <w:color w:val="auto"/>
                <w:vertAlign w:val="superscript"/>
              </w:rPr>
              <w:t>2</w:t>
            </w:r>
            <w:r>
              <w:rPr>
                <w:color w:val="auto"/>
              </w:rPr>
              <w:t>·a）</w:t>
            </w:r>
          </w:p>
        </w:tc>
        <w:tc>
          <w:tcPr>
            <w:tcW w:w="2784" w:type="dxa"/>
            <w:gridSpan w:val="3"/>
            <w:vAlign w:val="center"/>
          </w:tcPr>
          <w:p>
            <w:pPr>
              <w:pStyle w:val="12"/>
              <w:rPr>
                <w:color w:val="auto"/>
              </w:rPr>
            </w:pPr>
            <w:r>
              <w:rPr>
                <w:color w:val="auto"/>
              </w:rPr>
              <w:t>单位建筑面积电耗</w:t>
            </w:r>
          </w:p>
          <w:p>
            <w:pPr>
              <w:pStyle w:val="12"/>
              <w:rPr>
                <w:color w:val="auto"/>
              </w:rPr>
            </w:pPr>
            <w:r>
              <w:rPr>
                <w:color w:val="auto"/>
              </w:rPr>
              <w:t>kW</w:t>
            </w:r>
            <w:r>
              <w:rPr>
                <w:rFonts w:ascii="Times New Roman" w:hAnsi="Times New Roman" w:eastAsia="黑体"/>
                <w:color w:val="auto"/>
                <w:szCs w:val="21"/>
              </w:rPr>
              <w:t>·</w:t>
            </w:r>
            <w:r>
              <w:rPr>
                <w:color w:val="auto"/>
              </w:rPr>
              <w:t>h/（m</w:t>
            </w:r>
            <w:r>
              <w:rPr>
                <w:color w:val="auto"/>
                <w:vertAlign w:val="superscript"/>
              </w:rPr>
              <w:t>2</w:t>
            </w:r>
            <w:r>
              <w:rPr>
                <w:color w:val="auto"/>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tblHeader/>
          <w:jc w:val="center"/>
        </w:trPr>
        <w:tc>
          <w:tcPr>
            <w:tcW w:w="3055" w:type="dxa"/>
            <w:gridSpan w:val="2"/>
            <w:vMerge w:val="continue"/>
            <w:vAlign w:val="center"/>
          </w:tcPr>
          <w:p>
            <w:pPr>
              <w:pStyle w:val="12"/>
              <w:rPr>
                <w:color w:val="auto"/>
              </w:rPr>
            </w:pPr>
          </w:p>
        </w:tc>
        <w:tc>
          <w:tcPr>
            <w:tcW w:w="1020" w:type="dxa"/>
            <w:vAlign w:val="center"/>
          </w:tcPr>
          <w:p>
            <w:pPr>
              <w:pStyle w:val="12"/>
              <w:rPr>
                <w:color w:val="auto"/>
              </w:rPr>
            </w:pPr>
            <w:r>
              <w:rPr>
                <w:color w:val="auto"/>
              </w:rPr>
              <w:t>约束值</w:t>
            </w:r>
          </w:p>
        </w:tc>
        <w:tc>
          <w:tcPr>
            <w:tcW w:w="970" w:type="dxa"/>
            <w:vAlign w:val="center"/>
          </w:tcPr>
          <w:p>
            <w:pPr>
              <w:pStyle w:val="12"/>
              <w:rPr>
                <w:color w:val="auto"/>
              </w:rPr>
            </w:pPr>
            <w:r>
              <w:rPr>
                <w:rFonts w:hint="eastAsia"/>
                <w:color w:val="auto"/>
              </w:rPr>
              <w:t>基准</w:t>
            </w:r>
            <w:r>
              <w:rPr>
                <w:color w:val="auto"/>
              </w:rPr>
              <w:t>值</w:t>
            </w:r>
          </w:p>
        </w:tc>
        <w:tc>
          <w:tcPr>
            <w:tcW w:w="910" w:type="dxa"/>
            <w:vAlign w:val="center"/>
          </w:tcPr>
          <w:p>
            <w:pPr>
              <w:pStyle w:val="12"/>
              <w:rPr>
                <w:color w:val="auto"/>
              </w:rPr>
            </w:pPr>
            <w:r>
              <w:rPr>
                <w:rFonts w:hint="eastAsia"/>
                <w:color w:val="auto"/>
              </w:rPr>
              <w:t>引导值</w:t>
            </w:r>
          </w:p>
        </w:tc>
        <w:tc>
          <w:tcPr>
            <w:tcW w:w="980" w:type="dxa"/>
            <w:vAlign w:val="center"/>
          </w:tcPr>
          <w:p>
            <w:pPr>
              <w:pStyle w:val="12"/>
              <w:rPr>
                <w:color w:val="auto"/>
              </w:rPr>
            </w:pPr>
            <w:r>
              <w:rPr>
                <w:color w:val="auto"/>
              </w:rPr>
              <w:t>约束值</w:t>
            </w:r>
          </w:p>
        </w:tc>
        <w:tc>
          <w:tcPr>
            <w:tcW w:w="957" w:type="dxa"/>
            <w:vAlign w:val="center"/>
          </w:tcPr>
          <w:p>
            <w:pPr>
              <w:pStyle w:val="12"/>
              <w:rPr>
                <w:color w:val="auto"/>
              </w:rPr>
            </w:pPr>
            <w:r>
              <w:rPr>
                <w:rFonts w:hint="eastAsia"/>
                <w:color w:val="auto"/>
              </w:rPr>
              <w:t>基准</w:t>
            </w:r>
            <w:r>
              <w:rPr>
                <w:color w:val="auto"/>
              </w:rPr>
              <w:t>值</w:t>
            </w:r>
          </w:p>
        </w:tc>
        <w:tc>
          <w:tcPr>
            <w:tcW w:w="847" w:type="dxa"/>
            <w:vAlign w:val="center"/>
          </w:tcPr>
          <w:p>
            <w:pPr>
              <w:pStyle w:val="12"/>
              <w:rPr>
                <w:color w:val="auto"/>
              </w:rPr>
            </w:pPr>
            <w:r>
              <w:rPr>
                <w:rFonts w:hint="eastAsia"/>
                <w:color w:val="auto"/>
              </w:rPr>
              <w:t>引导值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230" w:type="dxa"/>
            <w:vAlign w:val="center"/>
          </w:tcPr>
          <w:p>
            <w:pPr>
              <w:pStyle w:val="12"/>
              <w:rPr>
                <w:color w:val="auto"/>
              </w:rPr>
            </w:pPr>
            <w:r>
              <w:rPr>
                <w:rFonts w:hint="eastAsia"/>
                <w:color w:val="auto"/>
              </w:rPr>
              <w:t>行政机关</w:t>
            </w:r>
          </w:p>
        </w:tc>
        <w:tc>
          <w:tcPr>
            <w:tcW w:w="1825" w:type="dxa"/>
            <w:vAlign w:val="center"/>
          </w:tcPr>
          <w:p>
            <w:pPr>
              <w:pStyle w:val="12"/>
              <w:rPr>
                <w:color w:val="auto"/>
              </w:rPr>
            </w:pPr>
            <w:r>
              <w:rPr>
                <w:color w:val="auto"/>
              </w:rPr>
              <w:t>市级及以下机关</w:t>
            </w:r>
          </w:p>
        </w:tc>
        <w:tc>
          <w:tcPr>
            <w:tcW w:w="1020" w:type="dxa"/>
            <w:vAlign w:val="center"/>
          </w:tcPr>
          <w:p>
            <w:pPr>
              <w:pStyle w:val="12"/>
              <w:rPr>
                <w:color w:val="auto"/>
              </w:rPr>
            </w:pPr>
            <w:r>
              <w:rPr>
                <w:color w:val="auto"/>
              </w:rPr>
              <w:t>10.</w:t>
            </w:r>
            <w:r>
              <w:rPr>
                <w:rFonts w:hint="eastAsia"/>
                <w:color w:val="auto"/>
              </w:rPr>
              <w:t>4</w:t>
            </w:r>
          </w:p>
        </w:tc>
        <w:tc>
          <w:tcPr>
            <w:tcW w:w="970" w:type="dxa"/>
            <w:vAlign w:val="center"/>
          </w:tcPr>
          <w:p>
            <w:pPr>
              <w:pStyle w:val="12"/>
              <w:rPr>
                <w:color w:val="auto"/>
              </w:rPr>
            </w:pPr>
            <w:r>
              <w:rPr>
                <w:color w:val="auto"/>
              </w:rPr>
              <w:t>7.</w:t>
            </w:r>
            <w:r>
              <w:rPr>
                <w:rFonts w:hint="eastAsia"/>
                <w:color w:val="auto"/>
              </w:rPr>
              <w:t>6</w:t>
            </w:r>
          </w:p>
        </w:tc>
        <w:tc>
          <w:tcPr>
            <w:tcW w:w="910" w:type="dxa"/>
            <w:vAlign w:val="center"/>
          </w:tcPr>
          <w:p>
            <w:pPr>
              <w:pStyle w:val="12"/>
              <w:rPr>
                <w:color w:val="auto"/>
              </w:rPr>
            </w:pPr>
            <w:r>
              <w:rPr>
                <w:rFonts w:hint="eastAsia"/>
                <w:color w:val="auto"/>
              </w:rPr>
              <w:t>5.6</w:t>
            </w:r>
          </w:p>
        </w:tc>
        <w:tc>
          <w:tcPr>
            <w:tcW w:w="980" w:type="dxa"/>
            <w:vAlign w:val="center"/>
          </w:tcPr>
          <w:p>
            <w:pPr>
              <w:pStyle w:val="12"/>
              <w:rPr>
                <w:color w:val="auto"/>
              </w:rPr>
            </w:pPr>
            <w:r>
              <w:rPr>
                <w:rFonts w:hint="eastAsia"/>
                <w:color w:val="auto"/>
              </w:rPr>
              <w:t>82.6</w:t>
            </w:r>
          </w:p>
        </w:tc>
        <w:tc>
          <w:tcPr>
            <w:tcW w:w="957" w:type="dxa"/>
            <w:vAlign w:val="center"/>
          </w:tcPr>
          <w:p>
            <w:pPr>
              <w:pStyle w:val="12"/>
              <w:rPr>
                <w:color w:val="auto"/>
              </w:rPr>
            </w:pPr>
            <w:r>
              <w:rPr>
                <w:rFonts w:hint="eastAsia"/>
                <w:color w:val="auto"/>
              </w:rPr>
              <w:t>52.6</w:t>
            </w:r>
          </w:p>
        </w:tc>
        <w:tc>
          <w:tcPr>
            <w:tcW w:w="847" w:type="dxa"/>
            <w:vAlign w:val="center"/>
          </w:tcPr>
          <w:p>
            <w:pPr>
              <w:pStyle w:val="12"/>
              <w:rPr>
                <w:color w:val="auto"/>
              </w:rPr>
            </w:pPr>
            <w:r>
              <w:rPr>
                <w:rFonts w:hint="eastAsia"/>
                <w:color w:val="auto"/>
              </w:rPr>
              <w:t>33.4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230" w:type="dxa"/>
            <w:vAlign w:val="center"/>
          </w:tcPr>
          <w:p>
            <w:pPr>
              <w:pStyle w:val="12"/>
              <w:rPr>
                <w:color w:val="auto"/>
              </w:rPr>
            </w:pPr>
            <w:r>
              <w:rPr>
                <w:rFonts w:hint="eastAsia"/>
                <w:color w:val="auto"/>
              </w:rPr>
              <w:t>公安机关</w:t>
            </w:r>
          </w:p>
        </w:tc>
        <w:tc>
          <w:tcPr>
            <w:tcW w:w="1825" w:type="dxa"/>
            <w:vAlign w:val="center"/>
          </w:tcPr>
          <w:p>
            <w:pPr>
              <w:pStyle w:val="12"/>
              <w:rPr>
                <w:color w:val="auto"/>
              </w:rPr>
            </w:pPr>
            <w:r>
              <w:rPr>
                <w:rFonts w:hint="eastAsia" w:ascii="Times New Roman" w:hAnsi="Times New Roman"/>
                <w:color w:val="auto"/>
                <w:szCs w:val="21"/>
              </w:rPr>
              <w:t>-</w:t>
            </w:r>
          </w:p>
        </w:tc>
        <w:tc>
          <w:tcPr>
            <w:tcW w:w="1020" w:type="dxa"/>
            <w:vAlign w:val="center"/>
          </w:tcPr>
          <w:p>
            <w:pPr>
              <w:pStyle w:val="12"/>
              <w:rPr>
                <w:color w:val="auto"/>
              </w:rPr>
            </w:pPr>
            <w:r>
              <w:rPr>
                <w:rFonts w:hint="eastAsia"/>
                <w:color w:val="auto"/>
              </w:rPr>
              <w:t>15.4</w:t>
            </w:r>
          </w:p>
        </w:tc>
        <w:tc>
          <w:tcPr>
            <w:tcW w:w="970" w:type="dxa"/>
            <w:vAlign w:val="center"/>
          </w:tcPr>
          <w:p>
            <w:pPr>
              <w:pStyle w:val="12"/>
              <w:rPr>
                <w:color w:val="auto"/>
              </w:rPr>
            </w:pPr>
            <w:r>
              <w:rPr>
                <w:rFonts w:hint="eastAsia"/>
                <w:color w:val="auto"/>
              </w:rPr>
              <w:t>12.7</w:t>
            </w:r>
          </w:p>
        </w:tc>
        <w:tc>
          <w:tcPr>
            <w:tcW w:w="910" w:type="dxa"/>
            <w:vAlign w:val="center"/>
          </w:tcPr>
          <w:p>
            <w:pPr>
              <w:pStyle w:val="12"/>
              <w:rPr>
                <w:color w:val="auto"/>
              </w:rPr>
            </w:pPr>
            <w:r>
              <w:rPr>
                <w:rFonts w:hint="eastAsia"/>
                <w:color w:val="auto"/>
              </w:rPr>
              <w:t>9.6</w:t>
            </w:r>
          </w:p>
        </w:tc>
        <w:tc>
          <w:tcPr>
            <w:tcW w:w="980" w:type="dxa"/>
            <w:vAlign w:val="center"/>
          </w:tcPr>
          <w:p>
            <w:pPr>
              <w:pStyle w:val="12"/>
              <w:rPr>
                <w:color w:val="auto"/>
              </w:rPr>
            </w:pPr>
            <w:r>
              <w:rPr>
                <w:rFonts w:hint="eastAsia"/>
                <w:color w:val="auto"/>
              </w:rPr>
              <w:t>96.1</w:t>
            </w:r>
          </w:p>
        </w:tc>
        <w:tc>
          <w:tcPr>
            <w:tcW w:w="957" w:type="dxa"/>
            <w:vAlign w:val="center"/>
          </w:tcPr>
          <w:p>
            <w:pPr>
              <w:pStyle w:val="12"/>
              <w:rPr>
                <w:color w:val="auto"/>
              </w:rPr>
            </w:pPr>
            <w:r>
              <w:rPr>
                <w:rFonts w:hint="eastAsia"/>
                <w:color w:val="auto"/>
              </w:rPr>
              <w:t>77.6</w:t>
            </w:r>
          </w:p>
        </w:tc>
        <w:tc>
          <w:tcPr>
            <w:tcW w:w="847" w:type="dxa"/>
            <w:vAlign w:val="center"/>
          </w:tcPr>
          <w:p>
            <w:pPr>
              <w:pStyle w:val="12"/>
              <w:rPr>
                <w:color w:val="auto"/>
              </w:rPr>
            </w:pPr>
            <w:r>
              <w:rPr>
                <w:rFonts w:hint="eastAsia"/>
                <w:color w:val="auto"/>
              </w:rPr>
              <w:t>53.7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230" w:type="dxa"/>
            <w:vAlign w:val="center"/>
          </w:tcPr>
          <w:p>
            <w:pPr>
              <w:pStyle w:val="12"/>
              <w:rPr>
                <w:color w:val="auto"/>
              </w:rPr>
            </w:pPr>
            <w:r>
              <w:rPr>
                <w:rFonts w:hint="eastAsia"/>
                <w:color w:val="auto"/>
              </w:rPr>
              <w:t>文化场馆</w:t>
            </w:r>
          </w:p>
        </w:tc>
        <w:tc>
          <w:tcPr>
            <w:tcW w:w="1825" w:type="dxa"/>
            <w:vAlign w:val="center"/>
          </w:tcPr>
          <w:p>
            <w:pPr>
              <w:pStyle w:val="12"/>
              <w:rPr>
                <w:color w:val="auto"/>
              </w:rPr>
            </w:pPr>
            <w:r>
              <w:rPr>
                <w:rFonts w:hint="eastAsia" w:ascii="Times New Roman" w:hAnsi="Times New Roman"/>
                <w:color w:val="auto"/>
                <w:szCs w:val="21"/>
              </w:rPr>
              <w:t>-</w:t>
            </w:r>
          </w:p>
        </w:tc>
        <w:tc>
          <w:tcPr>
            <w:tcW w:w="1020" w:type="dxa"/>
            <w:vAlign w:val="center"/>
          </w:tcPr>
          <w:p>
            <w:pPr>
              <w:pStyle w:val="12"/>
              <w:rPr>
                <w:color w:val="auto"/>
              </w:rPr>
            </w:pPr>
            <w:r>
              <w:rPr>
                <w:rFonts w:hint="eastAsia"/>
                <w:color w:val="auto"/>
              </w:rPr>
              <w:t>4.3</w:t>
            </w:r>
          </w:p>
        </w:tc>
        <w:tc>
          <w:tcPr>
            <w:tcW w:w="970" w:type="dxa"/>
            <w:vAlign w:val="center"/>
          </w:tcPr>
          <w:p>
            <w:pPr>
              <w:pStyle w:val="12"/>
              <w:rPr>
                <w:color w:val="auto"/>
              </w:rPr>
            </w:pPr>
            <w:r>
              <w:rPr>
                <w:rFonts w:hint="eastAsia"/>
                <w:color w:val="auto"/>
              </w:rPr>
              <w:t>3.6</w:t>
            </w:r>
          </w:p>
        </w:tc>
        <w:tc>
          <w:tcPr>
            <w:tcW w:w="910" w:type="dxa"/>
            <w:vAlign w:val="center"/>
          </w:tcPr>
          <w:p>
            <w:pPr>
              <w:pStyle w:val="12"/>
              <w:rPr>
                <w:color w:val="auto"/>
              </w:rPr>
            </w:pPr>
            <w:r>
              <w:rPr>
                <w:rFonts w:hint="eastAsia"/>
                <w:color w:val="auto"/>
              </w:rPr>
              <w:t>2.3</w:t>
            </w:r>
          </w:p>
        </w:tc>
        <w:tc>
          <w:tcPr>
            <w:tcW w:w="980" w:type="dxa"/>
            <w:vAlign w:val="center"/>
          </w:tcPr>
          <w:p>
            <w:pPr>
              <w:pStyle w:val="12"/>
              <w:rPr>
                <w:color w:val="auto"/>
              </w:rPr>
            </w:pPr>
            <w:r>
              <w:rPr>
                <w:rFonts w:hint="eastAsia"/>
                <w:color w:val="auto"/>
              </w:rPr>
              <w:t>29.3</w:t>
            </w:r>
          </w:p>
        </w:tc>
        <w:tc>
          <w:tcPr>
            <w:tcW w:w="957" w:type="dxa"/>
            <w:vAlign w:val="center"/>
          </w:tcPr>
          <w:p>
            <w:pPr>
              <w:pStyle w:val="12"/>
              <w:rPr>
                <w:color w:val="auto"/>
              </w:rPr>
            </w:pPr>
            <w:r>
              <w:rPr>
                <w:rFonts w:hint="eastAsia"/>
                <w:color w:val="auto"/>
              </w:rPr>
              <w:t>22.7</w:t>
            </w:r>
          </w:p>
        </w:tc>
        <w:tc>
          <w:tcPr>
            <w:tcW w:w="847" w:type="dxa"/>
            <w:vAlign w:val="center"/>
          </w:tcPr>
          <w:p>
            <w:pPr>
              <w:pStyle w:val="12"/>
              <w:rPr>
                <w:color w:val="auto"/>
              </w:rPr>
            </w:pPr>
            <w:r>
              <w:rPr>
                <w:rFonts w:hint="eastAsia"/>
                <w:color w:val="auto"/>
              </w:rPr>
              <w:t>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230" w:type="dxa"/>
            <w:vAlign w:val="center"/>
          </w:tcPr>
          <w:p>
            <w:pPr>
              <w:pStyle w:val="12"/>
              <w:rPr>
                <w:color w:val="auto"/>
              </w:rPr>
            </w:pPr>
            <w:r>
              <w:rPr>
                <w:rFonts w:hint="eastAsia"/>
                <w:color w:val="auto"/>
              </w:rPr>
              <w:t>科技场馆</w:t>
            </w:r>
          </w:p>
        </w:tc>
        <w:tc>
          <w:tcPr>
            <w:tcW w:w="1825" w:type="dxa"/>
            <w:vAlign w:val="center"/>
          </w:tcPr>
          <w:p>
            <w:pPr>
              <w:pStyle w:val="12"/>
              <w:rPr>
                <w:color w:val="auto"/>
              </w:rPr>
            </w:pPr>
            <w:r>
              <w:rPr>
                <w:rFonts w:hint="eastAsia" w:ascii="Times New Roman" w:hAnsi="Times New Roman"/>
                <w:color w:val="auto"/>
                <w:szCs w:val="21"/>
              </w:rPr>
              <w:t>-</w:t>
            </w:r>
          </w:p>
        </w:tc>
        <w:tc>
          <w:tcPr>
            <w:tcW w:w="1020" w:type="dxa"/>
            <w:vAlign w:val="center"/>
          </w:tcPr>
          <w:p>
            <w:pPr>
              <w:pStyle w:val="12"/>
              <w:rPr>
                <w:color w:val="auto"/>
              </w:rPr>
            </w:pPr>
            <w:r>
              <w:rPr>
                <w:rFonts w:hint="eastAsia"/>
                <w:color w:val="auto"/>
              </w:rPr>
              <w:t>3.5</w:t>
            </w:r>
          </w:p>
        </w:tc>
        <w:tc>
          <w:tcPr>
            <w:tcW w:w="970" w:type="dxa"/>
            <w:vAlign w:val="center"/>
          </w:tcPr>
          <w:p>
            <w:pPr>
              <w:pStyle w:val="12"/>
              <w:rPr>
                <w:color w:val="auto"/>
              </w:rPr>
            </w:pPr>
            <w:r>
              <w:rPr>
                <w:rFonts w:hint="eastAsia"/>
                <w:color w:val="auto"/>
              </w:rPr>
              <w:t>2.8</w:t>
            </w:r>
          </w:p>
        </w:tc>
        <w:tc>
          <w:tcPr>
            <w:tcW w:w="910" w:type="dxa"/>
            <w:vAlign w:val="center"/>
          </w:tcPr>
          <w:p>
            <w:pPr>
              <w:pStyle w:val="12"/>
              <w:rPr>
                <w:color w:val="auto"/>
              </w:rPr>
            </w:pPr>
            <w:r>
              <w:rPr>
                <w:rFonts w:hint="eastAsia"/>
                <w:color w:val="auto"/>
              </w:rPr>
              <w:t>1.9</w:t>
            </w:r>
          </w:p>
        </w:tc>
        <w:tc>
          <w:tcPr>
            <w:tcW w:w="980" w:type="dxa"/>
            <w:vAlign w:val="center"/>
          </w:tcPr>
          <w:p>
            <w:pPr>
              <w:pStyle w:val="12"/>
              <w:rPr>
                <w:color w:val="auto"/>
              </w:rPr>
            </w:pPr>
            <w:r>
              <w:rPr>
                <w:rFonts w:hint="eastAsia"/>
                <w:color w:val="auto"/>
              </w:rPr>
              <w:t>21.7</w:t>
            </w:r>
          </w:p>
        </w:tc>
        <w:tc>
          <w:tcPr>
            <w:tcW w:w="957" w:type="dxa"/>
            <w:vAlign w:val="center"/>
          </w:tcPr>
          <w:p>
            <w:pPr>
              <w:pStyle w:val="12"/>
              <w:rPr>
                <w:color w:val="auto"/>
              </w:rPr>
            </w:pPr>
            <w:r>
              <w:rPr>
                <w:rFonts w:hint="eastAsia"/>
                <w:color w:val="auto"/>
              </w:rPr>
              <w:t>16.9</w:t>
            </w:r>
          </w:p>
        </w:tc>
        <w:tc>
          <w:tcPr>
            <w:tcW w:w="847" w:type="dxa"/>
            <w:vAlign w:val="center"/>
          </w:tcPr>
          <w:p>
            <w:pPr>
              <w:pStyle w:val="12"/>
              <w:rPr>
                <w:color w:val="auto"/>
              </w:rPr>
            </w:pPr>
            <w:r>
              <w:rPr>
                <w:rFonts w:hint="eastAsia"/>
                <w:color w:val="auto"/>
              </w:rPr>
              <w:t>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230" w:type="dxa"/>
            <w:vAlign w:val="center"/>
          </w:tcPr>
          <w:p>
            <w:pPr>
              <w:pStyle w:val="12"/>
              <w:rPr>
                <w:color w:val="auto"/>
              </w:rPr>
            </w:pPr>
            <w:r>
              <w:rPr>
                <w:rFonts w:hint="eastAsia"/>
                <w:color w:val="auto"/>
              </w:rPr>
              <w:t>体育场馆</w:t>
            </w:r>
          </w:p>
        </w:tc>
        <w:tc>
          <w:tcPr>
            <w:tcW w:w="1825" w:type="dxa"/>
            <w:vAlign w:val="center"/>
          </w:tcPr>
          <w:p>
            <w:pPr>
              <w:pStyle w:val="12"/>
              <w:rPr>
                <w:color w:val="auto"/>
              </w:rPr>
            </w:pPr>
            <w:r>
              <w:rPr>
                <w:rFonts w:hint="eastAsia" w:ascii="Times New Roman" w:hAnsi="Times New Roman"/>
                <w:color w:val="auto"/>
                <w:szCs w:val="21"/>
              </w:rPr>
              <w:t>-</w:t>
            </w:r>
          </w:p>
        </w:tc>
        <w:tc>
          <w:tcPr>
            <w:tcW w:w="1020" w:type="dxa"/>
            <w:vAlign w:val="center"/>
          </w:tcPr>
          <w:p>
            <w:pPr>
              <w:pStyle w:val="12"/>
              <w:rPr>
                <w:color w:val="auto"/>
              </w:rPr>
            </w:pPr>
            <w:r>
              <w:rPr>
                <w:rFonts w:hint="eastAsia"/>
                <w:color w:val="auto"/>
              </w:rPr>
              <w:t>5.8</w:t>
            </w:r>
          </w:p>
        </w:tc>
        <w:tc>
          <w:tcPr>
            <w:tcW w:w="970" w:type="dxa"/>
            <w:vAlign w:val="center"/>
          </w:tcPr>
          <w:p>
            <w:pPr>
              <w:pStyle w:val="12"/>
              <w:rPr>
                <w:color w:val="auto"/>
              </w:rPr>
            </w:pPr>
            <w:r>
              <w:rPr>
                <w:rFonts w:hint="eastAsia"/>
                <w:color w:val="auto"/>
              </w:rPr>
              <w:t>4.1</w:t>
            </w:r>
          </w:p>
        </w:tc>
        <w:tc>
          <w:tcPr>
            <w:tcW w:w="910" w:type="dxa"/>
            <w:vAlign w:val="center"/>
          </w:tcPr>
          <w:p>
            <w:pPr>
              <w:pStyle w:val="12"/>
              <w:rPr>
                <w:color w:val="auto"/>
              </w:rPr>
            </w:pPr>
            <w:r>
              <w:rPr>
                <w:rFonts w:hint="eastAsia"/>
                <w:color w:val="auto"/>
              </w:rPr>
              <w:t>3.1</w:t>
            </w:r>
          </w:p>
        </w:tc>
        <w:tc>
          <w:tcPr>
            <w:tcW w:w="980" w:type="dxa"/>
            <w:vAlign w:val="center"/>
          </w:tcPr>
          <w:p>
            <w:pPr>
              <w:pStyle w:val="12"/>
              <w:rPr>
                <w:color w:val="auto"/>
              </w:rPr>
            </w:pPr>
            <w:r>
              <w:rPr>
                <w:rFonts w:hint="eastAsia"/>
                <w:color w:val="auto"/>
              </w:rPr>
              <w:t>39.5</w:t>
            </w:r>
          </w:p>
        </w:tc>
        <w:tc>
          <w:tcPr>
            <w:tcW w:w="957" w:type="dxa"/>
            <w:vAlign w:val="center"/>
          </w:tcPr>
          <w:p>
            <w:pPr>
              <w:pStyle w:val="12"/>
              <w:rPr>
                <w:color w:val="auto"/>
              </w:rPr>
            </w:pPr>
            <w:r>
              <w:rPr>
                <w:rFonts w:hint="eastAsia"/>
                <w:color w:val="auto"/>
              </w:rPr>
              <w:t>29.2</w:t>
            </w:r>
          </w:p>
        </w:tc>
        <w:tc>
          <w:tcPr>
            <w:tcW w:w="847" w:type="dxa"/>
            <w:vAlign w:val="center"/>
          </w:tcPr>
          <w:p>
            <w:pPr>
              <w:pStyle w:val="12"/>
              <w:rPr>
                <w:color w:val="auto"/>
              </w:rPr>
            </w:pPr>
            <w:r>
              <w:rPr>
                <w:rFonts w:hint="eastAsia"/>
                <w:color w:val="auto"/>
              </w:rPr>
              <w:t>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1230" w:type="dxa"/>
            <w:vMerge w:val="restart"/>
            <w:vAlign w:val="center"/>
          </w:tcPr>
          <w:p>
            <w:pPr>
              <w:pStyle w:val="12"/>
              <w:rPr>
                <w:color w:val="auto"/>
              </w:rPr>
            </w:pPr>
            <w:r>
              <w:rPr>
                <w:color w:val="auto"/>
              </w:rPr>
              <w:t>医疗机构</w:t>
            </w:r>
          </w:p>
        </w:tc>
        <w:tc>
          <w:tcPr>
            <w:tcW w:w="1825" w:type="dxa"/>
            <w:vAlign w:val="center"/>
          </w:tcPr>
          <w:p>
            <w:pPr>
              <w:pStyle w:val="12"/>
              <w:rPr>
                <w:color w:val="auto"/>
              </w:rPr>
            </w:pPr>
            <w:r>
              <w:rPr>
                <w:color w:val="auto"/>
              </w:rPr>
              <w:t>一级医院</w:t>
            </w:r>
          </w:p>
        </w:tc>
        <w:tc>
          <w:tcPr>
            <w:tcW w:w="1020" w:type="dxa"/>
            <w:vAlign w:val="center"/>
          </w:tcPr>
          <w:p>
            <w:pPr>
              <w:pStyle w:val="12"/>
              <w:rPr>
                <w:color w:val="auto"/>
              </w:rPr>
            </w:pPr>
            <w:r>
              <w:rPr>
                <w:rFonts w:hint="eastAsia"/>
                <w:color w:val="auto"/>
              </w:rPr>
              <w:t>9.7</w:t>
            </w:r>
          </w:p>
        </w:tc>
        <w:tc>
          <w:tcPr>
            <w:tcW w:w="970" w:type="dxa"/>
            <w:vAlign w:val="center"/>
          </w:tcPr>
          <w:p>
            <w:pPr>
              <w:pStyle w:val="12"/>
              <w:rPr>
                <w:color w:val="auto"/>
              </w:rPr>
            </w:pPr>
            <w:r>
              <w:rPr>
                <w:rFonts w:hint="eastAsia"/>
                <w:color w:val="auto"/>
              </w:rPr>
              <w:t>6.3</w:t>
            </w:r>
          </w:p>
        </w:tc>
        <w:tc>
          <w:tcPr>
            <w:tcW w:w="910" w:type="dxa"/>
            <w:vAlign w:val="center"/>
          </w:tcPr>
          <w:p>
            <w:pPr>
              <w:pStyle w:val="12"/>
              <w:rPr>
                <w:color w:val="auto"/>
              </w:rPr>
            </w:pPr>
            <w:r>
              <w:rPr>
                <w:rFonts w:hint="eastAsia"/>
                <w:color w:val="auto"/>
              </w:rPr>
              <w:t>4.7</w:t>
            </w:r>
          </w:p>
        </w:tc>
        <w:tc>
          <w:tcPr>
            <w:tcW w:w="980" w:type="dxa"/>
            <w:vAlign w:val="center"/>
          </w:tcPr>
          <w:p>
            <w:pPr>
              <w:pStyle w:val="12"/>
              <w:rPr>
                <w:color w:val="auto"/>
              </w:rPr>
            </w:pPr>
            <w:r>
              <w:rPr>
                <w:rFonts w:hint="eastAsia"/>
                <w:color w:val="auto"/>
              </w:rPr>
              <w:t>61.8</w:t>
            </w:r>
          </w:p>
        </w:tc>
        <w:tc>
          <w:tcPr>
            <w:tcW w:w="957" w:type="dxa"/>
            <w:vAlign w:val="center"/>
          </w:tcPr>
          <w:p>
            <w:pPr>
              <w:pStyle w:val="12"/>
              <w:rPr>
                <w:color w:val="auto"/>
              </w:rPr>
            </w:pPr>
            <w:r>
              <w:rPr>
                <w:rFonts w:hint="eastAsia"/>
                <w:color w:val="auto"/>
              </w:rPr>
              <w:t>33.2</w:t>
            </w:r>
          </w:p>
        </w:tc>
        <w:tc>
          <w:tcPr>
            <w:tcW w:w="847" w:type="dxa"/>
            <w:vAlign w:val="center"/>
          </w:tcPr>
          <w:p>
            <w:pPr>
              <w:pStyle w:val="12"/>
              <w:rPr>
                <w:color w:val="auto"/>
              </w:rPr>
            </w:pPr>
            <w:r>
              <w:rPr>
                <w:rFonts w:hint="eastAsia"/>
                <w:color w:val="auto"/>
              </w:rPr>
              <w:t>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jc w:val="center"/>
        </w:trPr>
        <w:tc>
          <w:tcPr>
            <w:tcW w:w="1230" w:type="dxa"/>
            <w:vMerge w:val="continue"/>
            <w:vAlign w:val="center"/>
          </w:tcPr>
          <w:p>
            <w:pPr>
              <w:pStyle w:val="12"/>
              <w:rPr>
                <w:color w:val="auto"/>
              </w:rPr>
            </w:pPr>
          </w:p>
        </w:tc>
        <w:tc>
          <w:tcPr>
            <w:tcW w:w="1825" w:type="dxa"/>
            <w:vAlign w:val="center"/>
          </w:tcPr>
          <w:p>
            <w:pPr>
              <w:pStyle w:val="12"/>
              <w:rPr>
                <w:color w:val="auto"/>
              </w:rPr>
            </w:pPr>
            <w:r>
              <w:rPr>
                <w:color w:val="auto"/>
              </w:rPr>
              <w:t>二级医院</w:t>
            </w:r>
          </w:p>
        </w:tc>
        <w:tc>
          <w:tcPr>
            <w:tcW w:w="1020" w:type="dxa"/>
            <w:vAlign w:val="center"/>
          </w:tcPr>
          <w:p>
            <w:pPr>
              <w:pStyle w:val="12"/>
              <w:rPr>
                <w:color w:val="auto"/>
              </w:rPr>
            </w:pPr>
            <w:r>
              <w:rPr>
                <w:rFonts w:hint="eastAsia"/>
                <w:color w:val="auto"/>
              </w:rPr>
              <w:t>17.1</w:t>
            </w:r>
          </w:p>
        </w:tc>
        <w:tc>
          <w:tcPr>
            <w:tcW w:w="970" w:type="dxa"/>
            <w:vAlign w:val="center"/>
          </w:tcPr>
          <w:p>
            <w:pPr>
              <w:pStyle w:val="12"/>
              <w:rPr>
                <w:color w:val="auto"/>
              </w:rPr>
            </w:pPr>
            <w:r>
              <w:rPr>
                <w:rFonts w:hint="eastAsia"/>
                <w:color w:val="auto"/>
              </w:rPr>
              <w:t>12.5</w:t>
            </w:r>
          </w:p>
        </w:tc>
        <w:tc>
          <w:tcPr>
            <w:tcW w:w="910" w:type="dxa"/>
            <w:vAlign w:val="center"/>
          </w:tcPr>
          <w:p>
            <w:pPr>
              <w:pStyle w:val="12"/>
              <w:rPr>
                <w:color w:val="auto"/>
              </w:rPr>
            </w:pPr>
            <w:r>
              <w:rPr>
                <w:rFonts w:hint="eastAsia"/>
                <w:color w:val="auto"/>
              </w:rPr>
              <w:t>7.8</w:t>
            </w:r>
          </w:p>
        </w:tc>
        <w:tc>
          <w:tcPr>
            <w:tcW w:w="980" w:type="dxa"/>
            <w:vAlign w:val="center"/>
          </w:tcPr>
          <w:p>
            <w:pPr>
              <w:pStyle w:val="12"/>
              <w:rPr>
                <w:color w:val="auto"/>
              </w:rPr>
            </w:pPr>
            <w:r>
              <w:rPr>
                <w:rFonts w:hint="eastAsia"/>
                <w:color w:val="auto"/>
              </w:rPr>
              <w:t>124.8</w:t>
            </w:r>
          </w:p>
        </w:tc>
        <w:tc>
          <w:tcPr>
            <w:tcW w:w="957" w:type="dxa"/>
            <w:vAlign w:val="center"/>
          </w:tcPr>
          <w:p>
            <w:pPr>
              <w:pStyle w:val="12"/>
              <w:rPr>
                <w:color w:val="auto"/>
              </w:rPr>
            </w:pPr>
            <w:r>
              <w:rPr>
                <w:rFonts w:hint="eastAsia"/>
                <w:color w:val="auto"/>
              </w:rPr>
              <w:t>85.8</w:t>
            </w:r>
          </w:p>
        </w:tc>
        <w:tc>
          <w:tcPr>
            <w:tcW w:w="847" w:type="dxa"/>
            <w:vAlign w:val="center"/>
          </w:tcPr>
          <w:p>
            <w:pPr>
              <w:pStyle w:val="12"/>
              <w:rPr>
                <w:color w:val="auto"/>
              </w:rPr>
            </w:pPr>
            <w:r>
              <w:rPr>
                <w:rFonts w:hint="eastAsia"/>
                <w:color w:val="auto"/>
              </w:rPr>
              <w:t>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3" w:hRule="atLeast"/>
          <w:jc w:val="center"/>
        </w:trPr>
        <w:tc>
          <w:tcPr>
            <w:tcW w:w="1230" w:type="dxa"/>
            <w:vMerge w:val="continue"/>
            <w:vAlign w:val="center"/>
          </w:tcPr>
          <w:p>
            <w:pPr>
              <w:pStyle w:val="12"/>
              <w:rPr>
                <w:color w:val="auto"/>
              </w:rPr>
            </w:pPr>
          </w:p>
        </w:tc>
        <w:tc>
          <w:tcPr>
            <w:tcW w:w="1825" w:type="dxa"/>
            <w:vAlign w:val="center"/>
          </w:tcPr>
          <w:p>
            <w:pPr>
              <w:pStyle w:val="12"/>
              <w:rPr>
                <w:color w:val="auto"/>
              </w:rPr>
            </w:pPr>
            <w:r>
              <w:rPr>
                <w:color w:val="auto"/>
              </w:rPr>
              <w:t>三级医院</w:t>
            </w:r>
          </w:p>
        </w:tc>
        <w:tc>
          <w:tcPr>
            <w:tcW w:w="1020" w:type="dxa"/>
            <w:vAlign w:val="center"/>
          </w:tcPr>
          <w:p>
            <w:pPr>
              <w:pStyle w:val="12"/>
              <w:rPr>
                <w:color w:val="auto"/>
              </w:rPr>
            </w:pPr>
            <w:r>
              <w:rPr>
                <w:rFonts w:hint="eastAsia"/>
                <w:color w:val="auto"/>
              </w:rPr>
              <w:t>26.6</w:t>
            </w:r>
          </w:p>
        </w:tc>
        <w:tc>
          <w:tcPr>
            <w:tcW w:w="970" w:type="dxa"/>
            <w:vAlign w:val="center"/>
          </w:tcPr>
          <w:p>
            <w:pPr>
              <w:pStyle w:val="12"/>
              <w:rPr>
                <w:color w:val="auto"/>
              </w:rPr>
            </w:pPr>
            <w:r>
              <w:rPr>
                <w:rFonts w:hint="eastAsia"/>
                <w:color w:val="auto"/>
              </w:rPr>
              <w:t>22.5</w:t>
            </w:r>
          </w:p>
        </w:tc>
        <w:tc>
          <w:tcPr>
            <w:tcW w:w="910" w:type="dxa"/>
            <w:vAlign w:val="center"/>
          </w:tcPr>
          <w:p>
            <w:pPr>
              <w:pStyle w:val="12"/>
              <w:rPr>
                <w:color w:val="auto"/>
              </w:rPr>
            </w:pPr>
            <w:r>
              <w:rPr>
                <w:rFonts w:hint="eastAsia"/>
                <w:color w:val="auto"/>
              </w:rPr>
              <w:t>18.8</w:t>
            </w:r>
          </w:p>
        </w:tc>
        <w:tc>
          <w:tcPr>
            <w:tcW w:w="980" w:type="dxa"/>
            <w:vAlign w:val="center"/>
          </w:tcPr>
          <w:p>
            <w:pPr>
              <w:pStyle w:val="12"/>
              <w:rPr>
                <w:color w:val="auto"/>
              </w:rPr>
            </w:pPr>
            <w:r>
              <w:rPr>
                <w:rFonts w:hint="eastAsia"/>
                <w:color w:val="auto"/>
              </w:rPr>
              <w:t>184.8</w:t>
            </w:r>
          </w:p>
        </w:tc>
        <w:tc>
          <w:tcPr>
            <w:tcW w:w="957" w:type="dxa"/>
            <w:vAlign w:val="center"/>
          </w:tcPr>
          <w:p>
            <w:pPr>
              <w:pStyle w:val="12"/>
              <w:rPr>
                <w:color w:val="auto"/>
              </w:rPr>
            </w:pPr>
            <w:r>
              <w:rPr>
                <w:rFonts w:hint="eastAsia"/>
                <w:color w:val="auto"/>
              </w:rPr>
              <w:t>153.3</w:t>
            </w:r>
          </w:p>
        </w:tc>
        <w:tc>
          <w:tcPr>
            <w:tcW w:w="847" w:type="dxa"/>
            <w:vAlign w:val="center"/>
          </w:tcPr>
          <w:p>
            <w:pPr>
              <w:pStyle w:val="12"/>
              <w:rPr>
                <w:color w:val="auto"/>
              </w:rPr>
            </w:pPr>
            <w:r>
              <w:rPr>
                <w:rFonts w:hint="eastAsia"/>
                <w:color w:val="auto"/>
              </w:rPr>
              <w:t>129.4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1230" w:type="dxa"/>
            <w:vMerge w:val="restart"/>
            <w:vAlign w:val="center"/>
          </w:tcPr>
          <w:p>
            <w:pPr>
              <w:pStyle w:val="12"/>
              <w:rPr>
                <w:color w:val="auto"/>
              </w:rPr>
            </w:pPr>
            <w:r>
              <w:rPr>
                <w:color w:val="auto"/>
              </w:rPr>
              <w:t>教育机构</w:t>
            </w:r>
          </w:p>
        </w:tc>
        <w:tc>
          <w:tcPr>
            <w:tcW w:w="1825" w:type="dxa"/>
            <w:vAlign w:val="center"/>
          </w:tcPr>
          <w:p>
            <w:pPr>
              <w:pStyle w:val="12"/>
              <w:rPr>
                <w:color w:val="auto"/>
              </w:rPr>
            </w:pPr>
            <w:r>
              <w:rPr>
                <w:color w:val="auto"/>
              </w:rPr>
              <w:t>高等教育</w:t>
            </w:r>
          </w:p>
        </w:tc>
        <w:tc>
          <w:tcPr>
            <w:tcW w:w="1020" w:type="dxa"/>
            <w:vAlign w:val="center"/>
          </w:tcPr>
          <w:p>
            <w:pPr>
              <w:pStyle w:val="12"/>
              <w:rPr>
                <w:color w:val="auto"/>
              </w:rPr>
            </w:pPr>
            <w:r>
              <w:rPr>
                <w:rFonts w:hint="eastAsia"/>
                <w:color w:val="auto"/>
              </w:rPr>
              <w:t>6.0</w:t>
            </w:r>
          </w:p>
        </w:tc>
        <w:tc>
          <w:tcPr>
            <w:tcW w:w="970" w:type="dxa"/>
            <w:vAlign w:val="center"/>
          </w:tcPr>
          <w:p>
            <w:pPr>
              <w:pStyle w:val="12"/>
              <w:rPr>
                <w:color w:val="auto"/>
              </w:rPr>
            </w:pPr>
            <w:r>
              <w:rPr>
                <w:rFonts w:hint="eastAsia"/>
                <w:color w:val="auto"/>
              </w:rPr>
              <w:t>5.4</w:t>
            </w:r>
          </w:p>
        </w:tc>
        <w:tc>
          <w:tcPr>
            <w:tcW w:w="910" w:type="dxa"/>
            <w:vAlign w:val="center"/>
          </w:tcPr>
          <w:p>
            <w:pPr>
              <w:pStyle w:val="12"/>
              <w:rPr>
                <w:color w:val="auto"/>
              </w:rPr>
            </w:pPr>
            <w:r>
              <w:rPr>
                <w:rFonts w:hint="eastAsia"/>
                <w:color w:val="auto"/>
              </w:rPr>
              <w:t>3.1</w:t>
            </w:r>
          </w:p>
        </w:tc>
        <w:tc>
          <w:tcPr>
            <w:tcW w:w="980" w:type="dxa"/>
            <w:vAlign w:val="center"/>
          </w:tcPr>
          <w:p>
            <w:pPr>
              <w:pStyle w:val="12"/>
              <w:rPr>
                <w:color w:val="auto"/>
              </w:rPr>
            </w:pPr>
            <w:r>
              <w:rPr>
                <w:rFonts w:hint="eastAsia"/>
                <w:color w:val="auto"/>
              </w:rPr>
              <w:t>41.8</w:t>
            </w:r>
          </w:p>
        </w:tc>
        <w:tc>
          <w:tcPr>
            <w:tcW w:w="957" w:type="dxa"/>
            <w:vAlign w:val="center"/>
          </w:tcPr>
          <w:p>
            <w:pPr>
              <w:pStyle w:val="12"/>
              <w:rPr>
                <w:color w:val="auto"/>
              </w:rPr>
            </w:pPr>
            <w:r>
              <w:rPr>
                <w:rFonts w:hint="eastAsia"/>
                <w:color w:val="auto"/>
              </w:rPr>
              <w:t>28.2</w:t>
            </w:r>
          </w:p>
        </w:tc>
        <w:tc>
          <w:tcPr>
            <w:tcW w:w="847" w:type="dxa"/>
            <w:vAlign w:val="center"/>
          </w:tcPr>
          <w:p>
            <w:pPr>
              <w:pStyle w:val="12"/>
              <w:rPr>
                <w:color w:val="auto"/>
              </w:rPr>
            </w:pPr>
            <w:r>
              <w:rPr>
                <w:rFonts w:hint="eastAsia"/>
                <w:color w:val="auto"/>
              </w:rP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1230" w:type="dxa"/>
            <w:vMerge w:val="continue"/>
            <w:vAlign w:val="center"/>
          </w:tcPr>
          <w:p>
            <w:pPr>
              <w:pStyle w:val="12"/>
              <w:rPr>
                <w:color w:val="auto"/>
              </w:rPr>
            </w:pPr>
          </w:p>
        </w:tc>
        <w:tc>
          <w:tcPr>
            <w:tcW w:w="1825" w:type="dxa"/>
            <w:vAlign w:val="center"/>
          </w:tcPr>
          <w:p>
            <w:pPr>
              <w:pStyle w:val="12"/>
              <w:rPr>
                <w:color w:val="auto"/>
              </w:rPr>
            </w:pPr>
            <w:r>
              <w:rPr>
                <w:color w:val="auto"/>
              </w:rPr>
              <w:t>中等教育</w:t>
            </w:r>
          </w:p>
        </w:tc>
        <w:tc>
          <w:tcPr>
            <w:tcW w:w="1020" w:type="dxa"/>
            <w:vAlign w:val="center"/>
          </w:tcPr>
          <w:p>
            <w:pPr>
              <w:pStyle w:val="12"/>
              <w:rPr>
                <w:color w:val="auto"/>
              </w:rPr>
            </w:pPr>
            <w:r>
              <w:rPr>
                <w:rFonts w:hint="eastAsia"/>
                <w:color w:val="auto"/>
              </w:rPr>
              <w:t>5.3</w:t>
            </w:r>
          </w:p>
        </w:tc>
        <w:tc>
          <w:tcPr>
            <w:tcW w:w="970" w:type="dxa"/>
            <w:vAlign w:val="center"/>
          </w:tcPr>
          <w:p>
            <w:pPr>
              <w:pStyle w:val="12"/>
              <w:rPr>
                <w:color w:val="auto"/>
              </w:rPr>
            </w:pPr>
            <w:r>
              <w:rPr>
                <w:rFonts w:hint="eastAsia"/>
                <w:color w:val="auto"/>
              </w:rPr>
              <w:t>3.1</w:t>
            </w:r>
          </w:p>
        </w:tc>
        <w:tc>
          <w:tcPr>
            <w:tcW w:w="910" w:type="dxa"/>
            <w:vAlign w:val="center"/>
          </w:tcPr>
          <w:p>
            <w:pPr>
              <w:pStyle w:val="12"/>
              <w:rPr>
                <w:color w:val="auto"/>
              </w:rPr>
            </w:pPr>
            <w:r>
              <w:rPr>
                <w:rFonts w:hint="eastAsia"/>
                <w:color w:val="auto"/>
              </w:rPr>
              <w:t>2.4</w:t>
            </w:r>
          </w:p>
        </w:tc>
        <w:tc>
          <w:tcPr>
            <w:tcW w:w="980" w:type="dxa"/>
            <w:vAlign w:val="center"/>
          </w:tcPr>
          <w:p>
            <w:pPr>
              <w:pStyle w:val="12"/>
              <w:rPr>
                <w:color w:val="auto"/>
              </w:rPr>
            </w:pPr>
            <w:r>
              <w:rPr>
                <w:rFonts w:hint="eastAsia"/>
                <w:color w:val="auto"/>
              </w:rPr>
              <w:t>32.3</w:t>
            </w:r>
          </w:p>
        </w:tc>
        <w:tc>
          <w:tcPr>
            <w:tcW w:w="957" w:type="dxa"/>
            <w:vAlign w:val="center"/>
          </w:tcPr>
          <w:p>
            <w:pPr>
              <w:pStyle w:val="12"/>
              <w:rPr>
                <w:color w:val="auto"/>
              </w:rPr>
            </w:pPr>
            <w:r>
              <w:rPr>
                <w:rFonts w:hint="eastAsia"/>
                <w:color w:val="auto"/>
              </w:rPr>
              <w:t>14.1</w:t>
            </w:r>
          </w:p>
        </w:tc>
        <w:tc>
          <w:tcPr>
            <w:tcW w:w="847" w:type="dxa"/>
            <w:vAlign w:val="center"/>
          </w:tcPr>
          <w:p>
            <w:pPr>
              <w:pStyle w:val="12"/>
              <w:rPr>
                <w:color w:val="auto"/>
              </w:rPr>
            </w:pPr>
            <w:r>
              <w:rPr>
                <w:rFonts w:hint="eastAsia"/>
                <w:color w:val="auto"/>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1230" w:type="dxa"/>
            <w:vMerge w:val="continue"/>
            <w:vAlign w:val="center"/>
          </w:tcPr>
          <w:p>
            <w:pPr>
              <w:pStyle w:val="12"/>
              <w:rPr>
                <w:color w:val="auto"/>
              </w:rPr>
            </w:pPr>
          </w:p>
        </w:tc>
        <w:tc>
          <w:tcPr>
            <w:tcW w:w="1825" w:type="dxa"/>
            <w:vAlign w:val="center"/>
          </w:tcPr>
          <w:p>
            <w:pPr>
              <w:pStyle w:val="12"/>
              <w:rPr>
                <w:color w:val="auto"/>
              </w:rPr>
            </w:pPr>
            <w:r>
              <w:rPr>
                <w:color w:val="auto"/>
              </w:rPr>
              <w:t>初等教育</w:t>
            </w:r>
          </w:p>
        </w:tc>
        <w:tc>
          <w:tcPr>
            <w:tcW w:w="1020" w:type="dxa"/>
            <w:vAlign w:val="center"/>
          </w:tcPr>
          <w:p>
            <w:pPr>
              <w:pStyle w:val="12"/>
              <w:rPr>
                <w:color w:val="auto"/>
              </w:rPr>
            </w:pPr>
            <w:r>
              <w:rPr>
                <w:rFonts w:hint="eastAsia"/>
                <w:color w:val="auto"/>
              </w:rPr>
              <w:t>3.8</w:t>
            </w:r>
          </w:p>
        </w:tc>
        <w:tc>
          <w:tcPr>
            <w:tcW w:w="970" w:type="dxa"/>
            <w:vAlign w:val="center"/>
          </w:tcPr>
          <w:p>
            <w:pPr>
              <w:pStyle w:val="12"/>
              <w:rPr>
                <w:color w:val="auto"/>
              </w:rPr>
            </w:pPr>
            <w:r>
              <w:rPr>
                <w:rFonts w:hint="eastAsia"/>
                <w:color w:val="auto"/>
              </w:rPr>
              <w:t>2.1</w:t>
            </w:r>
          </w:p>
        </w:tc>
        <w:tc>
          <w:tcPr>
            <w:tcW w:w="910" w:type="dxa"/>
            <w:vAlign w:val="center"/>
          </w:tcPr>
          <w:p>
            <w:pPr>
              <w:pStyle w:val="12"/>
              <w:rPr>
                <w:color w:val="auto"/>
              </w:rPr>
            </w:pPr>
            <w:r>
              <w:rPr>
                <w:rFonts w:hint="eastAsia"/>
                <w:color w:val="auto"/>
              </w:rPr>
              <w:t>1.6</w:t>
            </w:r>
          </w:p>
        </w:tc>
        <w:tc>
          <w:tcPr>
            <w:tcW w:w="980" w:type="dxa"/>
            <w:vAlign w:val="center"/>
          </w:tcPr>
          <w:p>
            <w:pPr>
              <w:pStyle w:val="12"/>
              <w:rPr>
                <w:color w:val="auto"/>
              </w:rPr>
            </w:pPr>
            <w:r>
              <w:rPr>
                <w:rFonts w:hint="eastAsia"/>
                <w:color w:val="auto"/>
              </w:rPr>
              <w:t>25.8</w:t>
            </w:r>
          </w:p>
        </w:tc>
        <w:tc>
          <w:tcPr>
            <w:tcW w:w="957" w:type="dxa"/>
            <w:vAlign w:val="center"/>
          </w:tcPr>
          <w:p>
            <w:pPr>
              <w:pStyle w:val="12"/>
              <w:rPr>
                <w:color w:val="auto"/>
              </w:rPr>
            </w:pPr>
            <w:r>
              <w:rPr>
                <w:rFonts w:hint="eastAsia"/>
                <w:color w:val="auto"/>
              </w:rPr>
              <w:t>13.4</w:t>
            </w:r>
          </w:p>
        </w:tc>
        <w:tc>
          <w:tcPr>
            <w:tcW w:w="847" w:type="dxa"/>
            <w:vAlign w:val="center"/>
          </w:tcPr>
          <w:p>
            <w:pPr>
              <w:pStyle w:val="12"/>
              <w:rPr>
                <w:color w:val="auto"/>
              </w:rPr>
            </w:pPr>
            <w:r>
              <w:rPr>
                <w:rFonts w:hint="eastAsia"/>
                <w:color w:val="auto"/>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1230" w:type="dxa"/>
            <w:vMerge w:val="continue"/>
            <w:vAlign w:val="center"/>
          </w:tcPr>
          <w:p>
            <w:pPr>
              <w:pStyle w:val="12"/>
              <w:rPr>
                <w:color w:val="auto"/>
              </w:rPr>
            </w:pPr>
          </w:p>
        </w:tc>
        <w:tc>
          <w:tcPr>
            <w:tcW w:w="1825" w:type="dxa"/>
            <w:vAlign w:val="center"/>
          </w:tcPr>
          <w:p>
            <w:pPr>
              <w:pStyle w:val="12"/>
              <w:rPr>
                <w:color w:val="auto"/>
              </w:rPr>
            </w:pPr>
            <w:r>
              <w:rPr>
                <w:color w:val="auto"/>
              </w:rPr>
              <w:t>学前教育</w:t>
            </w:r>
          </w:p>
        </w:tc>
        <w:tc>
          <w:tcPr>
            <w:tcW w:w="1020" w:type="dxa"/>
            <w:vAlign w:val="center"/>
          </w:tcPr>
          <w:p>
            <w:pPr>
              <w:pStyle w:val="12"/>
              <w:rPr>
                <w:color w:val="auto"/>
              </w:rPr>
            </w:pPr>
            <w:r>
              <w:rPr>
                <w:rFonts w:hint="eastAsia"/>
                <w:color w:val="auto"/>
              </w:rPr>
              <w:t>5.5</w:t>
            </w:r>
          </w:p>
        </w:tc>
        <w:tc>
          <w:tcPr>
            <w:tcW w:w="970" w:type="dxa"/>
            <w:vAlign w:val="center"/>
          </w:tcPr>
          <w:p>
            <w:pPr>
              <w:pStyle w:val="12"/>
              <w:rPr>
                <w:color w:val="auto"/>
              </w:rPr>
            </w:pPr>
            <w:r>
              <w:rPr>
                <w:rFonts w:hint="eastAsia"/>
                <w:color w:val="auto"/>
              </w:rPr>
              <w:t>4.3</w:t>
            </w:r>
          </w:p>
        </w:tc>
        <w:tc>
          <w:tcPr>
            <w:tcW w:w="910" w:type="dxa"/>
            <w:vAlign w:val="center"/>
          </w:tcPr>
          <w:p>
            <w:pPr>
              <w:pStyle w:val="12"/>
              <w:rPr>
                <w:color w:val="auto"/>
              </w:rPr>
            </w:pPr>
            <w:r>
              <w:rPr>
                <w:rFonts w:hint="eastAsia"/>
                <w:color w:val="auto"/>
              </w:rPr>
              <w:t>2.2</w:t>
            </w:r>
          </w:p>
        </w:tc>
        <w:tc>
          <w:tcPr>
            <w:tcW w:w="980" w:type="dxa"/>
            <w:vAlign w:val="center"/>
          </w:tcPr>
          <w:p>
            <w:pPr>
              <w:pStyle w:val="12"/>
              <w:rPr>
                <w:color w:val="auto"/>
              </w:rPr>
            </w:pPr>
            <w:r>
              <w:rPr>
                <w:rFonts w:hint="eastAsia"/>
                <w:color w:val="auto"/>
              </w:rPr>
              <w:t>24.4</w:t>
            </w:r>
          </w:p>
        </w:tc>
        <w:tc>
          <w:tcPr>
            <w:tcW w:w="957" w:type="dxa"/>
            <w:vAlign w:val="center"/>
          </w:tcPr>
          <w:p>
            <w:pPr>
              <w:pStyle w:val="12"/>
              <w:rPr>
                <w:color w:val="auto"/>
              </w:rPr>
            </w:pPr>
            <w:r>
              <w:rPr>
                <w:rFonts w:hint="eastAsia"/>
                <w:color w:val="auto"/>
              </w:rPr>
              <w:t>12.1</w:t>
            </w:r>
          </w:p>
        </w:tc>
        <w:tc>
          <w:tcPr>
            <w:tcW w:w="847" w:type="dxa"/>
            <w:vAlign w:val="center"/>
          </w:tcPr>
          <w:p>
            <w:pPr>
              <w:pStyle w:val="12"/>
              <w:rPr>
                <w:color w:val="auto"/>
              </w:rPr>
            </w:pPr>
            <w:r>
              <w:rPr>
                <w:rFonts w:hint="eastAsia"/>
                <w:color w:val="auto"/>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atLeast"/>
          <w:jc w:val="center"/>
        </w:trPr>
        <w:tc>
          <w:tcPr>
            <w:tcW w:w="1230" w:type="dxa"/>
            <w:vMerge w:val="continue"/>
            <w:vAlign w:val="center"/>
          </w:tcPr>
          <w:p>
            <w:pPr>
              <w:pStyle w:val="12"/>
              <w:rPr>
                <w:color w:val="auto"/>
              </w:rPr>
            </w:pPr>
          </w:p>
        </w:tc>
        <w:tc>
          <w:tcPr>
            <w:tcW w:w="1825" w:type="dxa"/>
            <w:vAlign w:val="center"/>
          </w:tcPr>
          <w:p>
            <w:pPr>
              <w:pStyle w:val="12"/>
              <w:rPr>
                <w:color w:val="auto"/>
              </w:rPr>
            </w:pPr>
            <w:r>
              <w:rPr>
                <w:color w:val="auto"/>
              </w:rPr>
              <w:t>其他教育</w:t>
            </w:r>
          </w:p>
        </w:tc>
        <w:tc>
          <w:tcPr>
            <w:tcW w:w="1020" w:type="dxa"/>
            <w:vAlign w:val="center"/>
          </w:tcPr>
          <w:p>
            <w:pPr>
              <w:pStyle w:val="12"/>
              <w:rPr>
                <w:color w:val="auto"/>
              </w:rPr>
            </w:pPr>
            <w:r>
              <w:rPr>
                <w:rFonts w:hint="eastAsia"/>
                <w:color w:val="auto"/>
              </w:rPr>
              <w:t>2.4</w:t>
            </w:r>
          </w:p>
        </w:tc>
        <w:tc>
          <w:tcPr>
            <w:tcW w:w="970" w:type="dxa"/>
            <w:vAlign w:val="center"/>
          </w:tcPr>
          <w:p>
            <w:pPr>
              <w:pStyle w:val="12"/>
              <w:rPr>
                <w:color w:val="auto"/>
              </w:rPr>
            </w:pPr>
            <w:r>
              <w:rPr>
                <w:rFonts w:hint="eastAsia"/>
                <w:color w:val="auto"/>
              </w:rPr>
              <w:t>1.5</w:t>
            </w:r>
          </w:p>
        </w:tc>
        <w:tc>
          <w:tcPr>
            <w:tcW w:w="910" w:type="dxa"/>
            <w:vAlign w:val="center"/>
          </w:tcPr>
          <w:p>
            <w:pPr>
              <w:pStyle w:val="12"/>
              <w:rPr>
                <w:color w:val="auto"/>
              </w:rPr>
            </w:pPr>
            <w:r>
              <w:rPr>
                <w:rFonts w:hint="eastAsia"/>
                <w:color w:val="auto"/>
              </w:rPr>
              <w:t>1.2</w:t>
            </w:r>
          </w:p>
        </w:tc>
        <w:tc>
          <w:tcPr>
            <w:tcW w:w="980" w:type="dxa"/>
            <w:vAlign w:val="center"/>
          </w:tcPr>
          <w:p>
            <w:pPr>
              <w:pStyle w:val="12"/>
              <w:rPr>
                <w:color w:val="auto"/>
              </w:rPr>
            </w:pPr>
            <w:r>
              <w:rPr>
                <w:rFonts w:hint="eastAsia"/>
                <w:color w:val="auto"/>
              </w:rPr>
              <w:t>11.2</w:t>
            </w:r>
          </w:p>
        </w:tc>
        <w:tc>
          <w:tcPr>
            <w:tcW w:w="957" w:type="dxa"/>
            <w:vAlign w:val="center"/>
          </w:tcPr>
          <w:p>
            <w:pPr>
              <w:pStyle w:val="12"/>
              <w:rPr>
                <w:color w:val="auto"/>
              </w:rPr>
            </w:pPr>
            <w:r>
              <w:rPr>
                <w:rFonts w:hint="eastAsia"/>
                <w:color w:val="auto"/>
              </w:rPr>
              <w:t>10.5</w:t>
            </w:r>
          </w:p>
        </w:tc>
        <w:tc>
          <w:tcPr>
            <w:tcW w:w="847" w:type="dxa"/>
            <w:vAlign w:val="center"/>
          </w:tcPr>
          <w:p>
            <w:pPr>
              <w:pStyle w:val="12"/>
              <w:rPr>
                <w:color w:val="auto"/>
              </w:rPr>
            </w:pPr>
            <w:r>
              <w:rPr>
                <w:rFonts w:hint="eastAsia"/>
                <w:color w:val="auto"/>
              </w:rPr>
              <w:t>6.2</w:t>
            </w:r>
          </w:p>
        </w:tc>
      </w:tr>
    </w:tbl>
    <w:p>
      <w:pPr>
        <w:pStyle w:val="23"/>
        <w:spacing w:before="156" w:beforeLines="50"/>
        <w:ind w:firstLine="360"/>
        <w:rPr>
          <w:color w:val="auto"/>
        </w:rPr>
      </w:pPr>
      <w:r>
        <w:rPr>
          <w:rFonts w:hint="eastAsia"/>
          <w:color w:val="auto"/>
        </w:rPr>
        <w:t>数据来源：《海南省公共机构能耗标准》</w:t>
      </w:r>
    </w:p>
    <w:p>
      <w:pPr>
        <w:rPr>
          <w:color w:val="auto"/>
        </w:rPr>
      </w:pPr>
      <w:r>
        <w:rPr>
          <w:rFonts w:hint="eastAsia"/>
          <w:color w:val="auto"/>
        </w:rPr>
        <w:t>将三亚市能耗调研结果与《海南省公共机构能耗定额标准》以及能耗限额相关标准进行对比，可得出以下结论：</w:t>
      </w:r>
    </w:p>
    <w:p>
      <w:pPr>
        <w:numPr>
          <w:ilvl w:val="0"/>
          <w:numId w:val="8"/>
        </w:numPr>
        <w:rPr>
          <w:color w:val="auto"/>
        </w:rPr>
      </w:pPr>
      <w:r>
        <w:rPr>
          <w:rFonts w:hint="eastAsia"/>
          <w:color w:val="auto"/>
        </w:rPr>
        <w:t>公共建筑中，三亚市党政机关办公建筑单位面积电耗为48.84kWh/m</w:t>
      </w:r>
      <w:r>
        <w:rPr>
          <w:rFonts w:hint="eastAsia"/>
          <w:color w:val="auto"/>
          <w:vertAlign w:val="superscript"/>
        </w:rPr>
        <w:t>2</w:t>
      </w:r>
      <w:r>
        <w:rPr>
          <w:rFonts w:hint="eastAsia"/>
          <w:color w:val="auto"/>
        </w:rPr>
        <w:t>，小于海南省能耗限额规定约束值82.6kWh/m</w:t>
      </w:r>
      <w:r>
        <w:rPr>
          <w:rFonts w:hint="eastAsia"/>
          <w:color w:val="auto"/>
          <w:vertAlign w:val="superscript"/>
        </w:rPr>
        <w:t>2</w:t>
      </w:r>
      <w:r>
        <w:rPr>
          <w:rFonts w:hint="eastAsia"/>
          <w:color w:val="auto"/>
        </w:rPr>
        <w:t>，同时小于其基准值52.6kWh/m</w:t>
      </w:r>
      <w:r>
        <w:rPr>
          <w:rFonts w:hint="eastAsia"/>
          <w:color w:val="auto"/>
          <w:vertAlign w:val="superscript"/>
        </w:rPr>
        <w:t>2</w:t>
      </w:r>
      <w:r>
        <w:rPr>
          <w:rFonts w:hint="eastAsia"/>
          <w:color w:val="auto"/>
        </w:rPr>
        <w:t>；与《行政机关能耗限额》相比，小于其规定值83kWh/m</w:t>
      </w:r>
      <w:r>
        <w:rPr>
          <w:rFonts w:hint="eastAsia"/>
          <w:color w:val="auto"/>
          <w:vertAlign w:val="superscript"/>
        </w:rPr>
        <w:t>2</w:t>
      </w:r>
      <w:r>
        <w:rPr>
          <w:rFonts w:hint="eastAsia"/>
          <w:color w:val="auto"/>
        </w:rPr>
        <w:t>。均满足标准要求。</w:t>
      </w:r>
    </w:p>
    <w:p>
      <w:pPr>
        <w:numPr>
          <w:ilvl w:val="0"/>
          <w:numId w:val="8"/>
        </w:numPr>
        <w:rPr>
          <w:color w:val="auto"/>
        </w:rPr>
      </w:pPr>
      <w:r>
        <w:rPr>
          <w:rFonts w:hint="eastAsia"/>
          <w:color w:val="auto"/>
        </w:rPr>
        <w:t>商场建筑平均单位面积电耗为133.58kWh/m</w:t>
      </w:r>
      <w:r>
        <w:rPr>
          <w:rFonts w:hint="eastAsia"/>
          <w:color w:val="auto"/>
          <w:vertAlign w:val="superscript"/>
        </w:rPr>
        <w:t>2</w:t>
      </w:r>
      <w:r>
        <w:rPr>
          <w:rFonts w:hint="eastAsia"/>
          <w:color w:val="auto"/>
        </w:rPr>
        <w:t>，其中，大型购物中心单位建筑面积电耗310.3kWh/m</w:t>
      </w:r>
      <w:r>
        <w:rPr>
          <w:rFonts w:hint="eastAsia"/>
          <w:color w:val="auto"/>
          <w:vertAlign w:val="superscript"/>
        </w:rPr>
        <w:t>2</w:t>
      </w:r>
      <w:r>
        <w:rPr>
          <w:rFonts w:hint="eastAsia"/>
          <w:color w:val="auto"/>
        </w:rPr>
        <w:t>，高于《商场超市单位电耗限额》规定值280kWh/m</w:t>
      </w:r>
      <w:r>
        <w:rPr>
          <w:rFonts w:hint="eastAsia"/>
          <w:color w:val="auto"/>
          <w:vertAlign w:val="superscript"/>
        </w:rPr>
        <w:t>2</w:t>
      </w:r>
      <w:r>
        <w:rPr>
          <w:rFonts w:hint="eastAsia"/>
          <w:color w:val="auto"/>
        </w:rPr>
        <w:t>，大型超市单位建筑面积电耗268.54kWh/m</w:t>
      </w:r>
      <w:r>
        <w:rPr>
          <w:rFonts w:hint="eastAsia"/>
          <w:color w:val="auto"/>
          <w:vertAlign w:val="superscript"/>
        </w:rPr>
        <w:t>2</w:t>
      </w:r>
      <w:r>
        <w:rPr>
          <w:rFonts w:hint="eastAsia"/>
          <w:color w:val="auto"/>
        </w:rPr>
        <w:t>，低于《商场超市单位电耗限额》规定值280kWh/m</w:t>
      </w:r>
      <w:r>
        <w:rPr>
          <w:rFonts w:hint="eastAsia"/>
          <w:color w:val="auto"/>
          <w:vertAlign w:val="superscript"/>
        </w:rPr>
        <w:t>2</w:t>
      </w:r>
      <w:r>
        <w:rPr>
          <w:rFonts w:hint="eastAsia"/>
          <w:color w:val="auto"/>
        </w:rPr>
        <w:t>。从调研数据上看大部分商场超市连续三年用电量稳定，能够反映该类别商场超市的真实电耗水平。部分超标企业每年有降低能耗的具体工作指标，未来都有对节能灯、空调等节能改造项目，通过节能技术的应用和改造，逐步接近或达到限额值的要求是可以的。</w:t>
      </w:r>
    </w:p>
    <w:p>
      <w:pPr>
        <w:rPr>
          <w:color w:val="auto"/>
        </w:rPr>
      </w:pPr>
      <w:r>
        <w:rPr>
          <w:rFonts w:hint="eastAsia"/>
          <w:color w:val="auto"/>
        </w:rPr>
        <w:t>（3）校园建筑平均单位面积电耗为17.11kWh/m</w:t>
      </w:r>
      <w:r>
        <w:rPr>
          <w:rFonts w:hint="eastAsia"/>
          <w:color w:val="auto"/>
          <w:vertAlign w:val="superscript"/>
        </w:rPr>
        <w:t>2</w:t>
      </w:r>
      <w:r>
        <w:rPr>
          <w:rFonts w:hint="eastAsia"/>
          <w:color w:val="auto"/>
        </w:rPr>
        <w:t>，与海南学校建筑单位建筑面积能耗平均值约23.5kWh/m</w:t>
      </w:r>
      <w:r>
        <w:rPr>
          <w:rFonts w:hint="eastAsia"/>
          <w:color w:val="auto"/>
          <w:vertAlign w:val="superscript"/>
        </w:rPr>
        <w:t>2</w:t>
      </w:r>
      <w:r>
        <w:rPr>
          <w:rFonts w:hint="eastAsia"/>
          <w:color w:val="auto"/>
        </w:rPr>
        <w:t>相比，小于全省平均值。由于学校中采用的是分体式空调且，能耗大的用能设备比较少，学校建筑总体能耗较低。学校建筑在能源管理和计量方面是薄弱点，需要进一步改进。</w:t>
      </w:r>
    </w:p>
    <w:p>
      <w:pPr>
        <w:rPr>
          <w:color w:val="auto"/>
        </w:rPr>
      </w:pPr>
      <w:r>
        <w:rPr>
          <w:rFonts w:hint="eastAsia"/>
          <w:color w:val="auto"/>
        </w:rPr>
        <w:t>（4）医疗建筑的建筑单位建筑面积能耗量相差较大。采用中央空调的建筑单位面积能耗量较大，相应地分体空调能耗量较小。此外医疗的能耗状况与其建筑功能有很直接的关系。若建筑内大型医疗仪器多，越先进，能耗量相对就会较大。医疗卫生建筑平均单位面积电耗为180.7kWh/m</w:t>
      </w:r>
      <w:r>
        <w:rPr>
          <w:rFonts w:hint="eastAsia"/>
          <w:color w:val="auto"/>
          <w:vertAlign w:val="superscript"/>
        </w:rPr>
        <w:t>2</w:t>
      </w:r>
      <w:r>
        <w:rPr>
          <w:rFonts w:hint="eastAsia"/>
          <w:color w:val="auto"/>
        </w:rPr>
        <w:t>，小于《海南省公共机构能耗定额标准》规定三级医院平均单位面积电耗为184.8kWh/m</w:t>
      </w:r>
      <w:r>
        <w:rPr>
          <w:rFonts w:hint="eastAsia"/>
          <w:color w:val="auto"/>
          <w:vertAlign w:val="superscript"/>
        </w:rPr>
        <w:t>2</w:t>
      </w:r>
      <w:r>
        <w:rPr>
          <w:rFonts w:hint="eastAsia"/>
          <w:color w:val="auto"/>
        </w:rPr>
        <w:t>。</w:t>
      </w:r>
    </w:p>
    <w:p>
      <w:pPr>
        <w:pStyle w:val="4"/>
        <w:rPr>
          <w:color w:val="auto"/>
        </w:rPr>
      </w:pPr>
      <w:bookmarkStart w:id="206" w:name="_Toc15879"/>
      <w:r>
        <w:rPr>
          <w:rFonts w:hint="eastAsia"/>
          <w:color w:val="auto"/>
        </w:rPr>
        <w:t>3.2.2住宅</w:t>
      </w:r>
      <w:bookmarkEnd w:id="206"/>
    </w:p>
    <w:p>
      <w:pPr>
        <w:rPr>
          <w:color w:val="auto"/>
        </w:rPr>
      </w:pPr>
      <w:r>
        <w:rPr>
          <w:rFonts w:hint="eastAsia"/>
          <w:color w:val="auto"/>
        </w:rPr>
        <w:t>居住类型建筑的主要功能是用来满足人们日常的饮食起居的作用，同时由于居住类型建筑的能耗费用大多由个人承担，居住者对能耗使用也较为注意，在选购家用产品时会更为注重产品的节能特性。因此在民用建筑中，居住建筑的单位面积电耗是最低。</w:t>
      </w:r>
    </w:p>
    <w:p>
      <w:pPr>
        <w:rPr>
          <w:color w:val="auto"/>
        </w:rPr>
      </w:pPr>
      <w:r>
        <w:rPr>
          <w:rFonts w:hint="eastAsia"/>
          <w:color w:val="auto"/>
        </w:rPr>
        <w:t>依据国家标准《民用建筑能耗标准》（GBT51161-2016）要求：居住建筑非供暖能耗指标应以每户每年能耗量为能耗指标的表现形式。居住建筑非供暖能耗应包括每户自身的能耗量和公共部分分摊的能耗量两部分，公共部分能耗量宜按每户套内建筑面积分摊。</w:t>
      </w:r>
    </w:p>
    <w:p>
      <w:pPr>
        <w:rPr>
          <w:color w:val="auto"/>
        </w:rPr>
      </w:pPr>
      <w:r>
        <w:rPr>
          <w:rFonts w:hint="eastAsia"/>
          <w:color w:val="auto"/>
        </w:rPr>
        <w:t>据</w:t>
      </w:r>
      <w:r>
        <w:rPr>
          <w:color w:val="auto"/>
        </w:rPr>
        <w:t>统计</w:t>
      </w:r>
      <w:r>
        <w:rPr>
          <w:rFonts w:hint="eastAsia"/>
          <w:color w:val="auto"/>
        </w:rPr>
        <w:t>，2019年</w:t>
      </w:r>
      <w:r>
        <w:rPr>
          <w:color w:val="auto"/>
        </w:rPr>
        <w:t>，三亚</w:t>
      </w:r>
      <w:r>
        <w:rPr>
          <w:rFonts w:hint="eastAsia"/>
          <w:color w:val="auto"/>
        </w:rPr>
        <w:t>市</w:t>
      </w:r>
      <w:r>
        <w:rPr>
          <w:color w:val="auto"/>
        </w:rPr>
        <w:t>居民每户平均每年用电量约</w:t>
      </w:r>
      <w:r>
        <w:rPr>
          <w:rFonts w:hint="eastAsia"/>
          <w:color w:val="auto"/>
        </w:rPr>
        <w:t>2644[kW</w:t>
      </w:r>
      <w:r>
        <w:rPr>
          <w:rFonts w:eastAsia="黑体"/>
          <w:color w:val="auto"/>
          <w:sz w:val="21"/>
          <w:szCs w:val="21"/>
        </w:rPr>
        <w:t>·</w:t>
      </w:r>
      <w:r>
        <w:rPr>
          <w:rFonts w:hint="eastAsia"/>
          <w:color w:val="auto"/>
        </w:rPr>
        <w:t>h/(a.H)]，小于国家标准《民用建筑能耗标准》用电消耗指标约束值</w:t>
      </w:r>
      <w:r>
        <w:rPr>
          <w:color w:val="auto"/>
        </w:rPr>
        <w:t>2800</w:t>
      </w:r>
      <w:r>
        <w:rPr>
          <w:rFonts w:hint="eastAsia"/>
          <w:color w:val="auto"/>
        </w:rPr>
        <w:t>[kW</w:t>
      </w:r>
      <w:r>
        <w:rPr>
          <w:rFonts w:eastAsia="黑体"/>
          <w:color w:val="auto"/>
          <w:sz w:val="21"/>
          <w:szCs w:val="21"/>
        </w:rPr>
        <w:t>·</w:t>
      </w:r>
      <w:r>
        <w:rPr>
          <w:rFonts w:hint="eastAsia"/>
          <w:color w:val="auto"/>
        </w:rPr>
        <w:t>h/(a.H)]，满足要求。</w:t>
      </w:r>
    </w:p>
    <w:p>
      <w:pPr>
        <w:rPr>
          <w:color w:val="auto"/>
        </w:rPr>
      </w:pPr>
      <w:r>
        <w:rPr>
          <w:rFonts w:hint="eastAsia"/>
          <w:color w:val="auto"/>
        </w:rPr>
        <w:t>据统计，2019年，三亚市居民家庭天然气消耗量为1554.11万立方米，共计227462户，平均每户68.32立方米。小于国家标准《民用建筑能耗标准》燃气消耗指标约束值160[m</w:t>
      </w:r>
      <w:r>
        <w:rPr>
          <w:rFonts w:hint="eastAsia"/>
          <w:color w:val="auto"/>
          <w:vertAlign w:val="superscript"/>
        </w:rPr>
        <w:t>3</w:t>
      </w:r>
      <w:r>
        <w:rPr>
          <w:rFonts w:hint="eastAsia"/>
          <w:color w:val="auto"/>
        </w:rPr>
        <w:t>/(a</w:t>
      </w:r>
      <w:r>
        <w:rPr>
          <w:rFonts w:eastAsia="黑体"/>
          <w:color w:val="auto"/>
          <w:sz w:val="21"/>
          <w:szCs w:val="21"/>
        </w:rPr>
        <w:t>·</w:t>
      </w:r>
      <w:r>
        <w:rPr>
          <w:rFonts w:hint="eastAsia"/>
          <w:color w:val="auto"/>
        </w:rPr>
        <w:t>H)]，满足要求。</w:t>
      </w:r>
    </w:p>
    <w:p>
      <w:pPr>
        <w:pStyle w:val="10"/>
        <w:spacing w:before="312"/>
        <w:rPr>
          <w:rFonts w:ascii="Times New Roman" w:hAnsi="Times New Roman"/>
          <w:color w:val="auto"/>
          <w:sz w:val="21"/>
          <w:szCs w:val="21"/>
        </w:rPr>
      </w:pPr>
      <w:bookmarkStart w:id="207" w:name="_Hlk53581878"/>
      <w:r>
        <w:rPr>
          <w:rFonts w:hint="eastAsia" w:ascii="Times New Roman" w:hAnsi="Times New Roman"/>
          <w:color w:val="auto"/>
          <w:sz w:val="21"/>
          <w:szCs w:val="21"/>
        </w:rPr>
        <w:t>表3-5 三亚实际居住建筑能耗对比居住建筑非供暖能耗指标约束值</w:t>
      </w:r>
    </w:p>
    <w:tbl>
      <w:tblPr>
        <w:tblStyle w:val="39"/>
        <w:tblW w:w="7740" w:type="dxa"/>
        <w:jc w:val="center"/>
        <w:tblInd w:w="0" w:type="dxa"/>
        <w:tblLayout w:type="fixed"/>
        <w:tblCellMar>
          <w:top w:w="0" w:type="dxa"/>
          <w:left w:w="0" w:type="dxa"/>
          <w:bottom w:w="0" w:type="dxa"/>
          <w:right w:w="0" w:type="dxa"/>
        </w:tblCellMar>
      </w:tblPr>
      <w:tblGrid>
        <w:gridCol w:w="1913"/>
        <w:gridCol w:w="2682"/>
        <w:gridCol w:w="3145"/>
      </w:tblGrid>
      <w:tr>
        <w:tblPrEx>
          <w:tblLayout w:type="fixed"/>
          <w:tblCellMar>
            <w:top w:w="0" w:type="dxa"/>
            <w:left w:w="0" w:type="dxa"/>
            <w:bottom w:w="0" w:type="dxa"/>
            <w:right w:w="0" w:type="dxa"/>
          </w:tblCellMar>
        </w:tblPrEx>
        <w:trPr>
          <w:trHeight w:val="688" w:hRule="atLeast"/>
          <w:jc w:val="center"/>
        </w:trPr>
        <w:tc>
          <w:tcPr>
            <w:tcW w:w="1913" w:type="dxa"/>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b/>
                <w:bCs/>
                <w:color w:val="auto"/>
              </w:rPr>
            </w:pPr>
            <w:r>
              <w:rPr>
                <w:rFonts w:ascii="Times New Roman" w:hAnsi="Times New Roman"/>
                <w:b/>
                <w:bCs/>
                <w:color w:val="auto"/>
              </w:rPr>
              <w:t>类型</w:t>
            </w:r>
          </w:p>
        </w:tc>
        <w:tc>
          <w:tcPr>
            <w:tcW w:w="2682" w:type="dxa"/>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b/>
                <w:bCs/>
                <w:color w:val="auto"/>
              </w:rPr>
            </w:pPr>
            <w:r>
              <w:rPr>
                <w:rFonts w:ascii="Times New Roman" w:hAnsi="Times New Roman"/>
                <w:b/>
                <w:bCs/>
                <w:color w:val="auto"/>
              </w:rPr>
              <w:t>综合电耗指标约束值</w:t>
            </w:r>
          </w:p>
          <w:p>
            <w:pPr>
              <w:pStyle w:val="12"/>
              <w:rPr>
                <w:rFonts w:ascii="Times New Roman" w:hAnsi="Times New Roman"/>
                <w:b/>
                <w:bCs/>
                <w:color w:val="auto"/>
              </w:rPr>
            </w:pPr>
            <w:r>
              <w:rPr>
                <w:rFonts w:ascii="Times New Roman" w:hAnsi="Times New Roman"/>
                <w:b/>
                <w:bCs/>
                <w:color w:val="auto"/>
              </w:rPr>
              <w:t>[kW</w:t>
            </w:r>
            <w:r>
              <w:rPr>
                <w:rFonts w:ascii="Times New Roman" w:hAnsi="Times New Roman" w:eastAsia="黑体"/>
                <w:b/>
                <w:bCs/>
                <w:color w:val="auto"/>
                <w:szCs w:val="21"/>
              </w:rPr>
              <w:t>·</w:t>
            </w:r>
            <w:r>
              <w:rPr>
                <w:rFonts w:ascii="Times New Roman" w:hAnsi="Times New Roman"/>
                <w:b/>
                <w:bCs/>
                <w:color w:val="auto"/>
              </w:rPr>
              <w:t>h/(a.H)]</w:t>
            </w:r>
          </w:p>
        </w:tc>
        <w:tc>
          <w:tcPr>
            <w:tcW w:w="314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b/>
                <w:bCs/>
                <w:color w:val="auto"/>
              </w:rPr>
            </w:pPr>
            <w:r>
              <w:rPr>
                <w:rFonts w:ascii="Times New Roman" w:hAnsi="Times New Roman"/>
                <w:b/>
                <w:bCs/>
                <w:color w:val="auto"/>
              </w:rPr>
              <w:t>燃气消耗指标约束值</w:t>
            </w:r>
          </w:p>
          <w:p>
            <w:pPr>
              <w:pStyle w:val="12"/>
              <w:rPr>
                <w:rFonts w:ascii="Times New Roman" w:hAnsi="Times New Roman"/>
                <w:b/>
                <w:bCs/>
                <w:color w:val="auto"/>
              </w:rPr>
            </w:pPr>
            <w:r>
              <w:rPr>
                <w:rFonts w:ascii="Times New Roman" w:hAnsi="Times New Roman"/>
                <w:b/>
                <w:bCs/>
                <w:color w:val="auto"/>
              </w:rPr>
              <w:t>[m</w:t>
            </w:r>
            <w:r>
              <w:rPr>
                <w:rFonts w:ascii="Times New Roman" w:hAnsi="Times New Roman"/>
                <w:b/>
                <w:bCs/>
                <w:color w:val="auto"/>
                <w:vertAlign w:val="superscript"/>
              </w:rPr>
              <w:t>3</w:t>
            </w:r>
            <w:r>
              <w:rPr>
                <w:rFonts w:ascii="Times New Roman" w:hAnsi="Times New Roman"/>
                <w:b/>
                <w:bCs/>
                <w:color w:val="auto"/>
              </w:rPr>
              <w:t>/(a.H)]</w:t>
            </w:r>
          </w:p>
        </w:tc>
      </w:tr>
      <w:tr>
        <w:tblPrEx>
          <w:tblLayout w:type="fixed"/>
          <w:tblCellMar>
            <w:top w:w="0" w:type="dxa"/>
            <w:left w:w="0" w:type="dxa"/>
            <w:bottom w:w="0" w:type="dxa"/>
            <w:right w:w="0" w:type="dxa"/>
          </w:tblCellMar>
        </w:tblPrEx>
        <w:trPr>
          <w:trHeight w:val="434" w:hRule="exact"/>
          <w:jc w:val="center"/>
        </w:trPr>
        <w:tc>
          <w:tcPr>
            <w:tcW w:w="19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国家标准</w:t>
            </w:r>
          </w:p>
        </w:tc>
        <w:tc>
          <w:tcPr>
            <w:tcW w:w="26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2800</w:t>
            </w:r>
          </w:p>
        </w:tc>
        <w:tc>
          <w:tcPr>
            <w:tcW w:w="314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160</w:t>
            </w:r>
          </w:p>
        </w:tc>
      </w:tr>
      <w:tr>
        <w:tblPrEx>
          <w:tblLayout w:type="fixed"/>
          <w:tblCellMar>
            <w:top w:w="0" w:type="dxa"/>
            <w:left w:w="0" w:type="dxa"/>
            <w:bottom w:w="0" w:type="dxa"/>
            <w:right w:w="0" w:type="dxa"/>
          </w:tblCellMar>
        </w:tblPrEx>
        <w:trPr>
          <w:trHeight w:val="443" w:hRule="exact"/>
          <w:jc w:val="center"/>
        </w:trPr>
        <w:tc>
          <w:tcPr>
            <w:tcW w:w="19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三亚</w:t>
            </w:r>
          </w:p>
        </w:tc>
        <w:tc>
          <w:tcPr>
            <w:tcW w:w="26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2644</w:t>
            </w:r>
          </w:p>
        </w:tc>
        <w:tc>
          <w:tcPr>
            <w:tcW w:w="314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68.32</w:t>
            </w:r>
          </w:p>
        </w:tc>
      </w:tr>
      <w:bookmarkEnd w:id="192"/>
      <w:bookmarkEnd w:id="193"/>
      <w:bookmarkEnd w:id="194"/>
      <w:bookmarkEnd w:id="195"/>
      <w:bookmarkEnd w:id="196"/>
      <w:bookmarkEnd w:id="197"/>
      <w:bookmarkEnd w:id="198"/>
      <w:bookmarkEnd w:id="199"/>
      <w:bookmarkEnd w:id="207"/>
    </w:tbl>
    <w:p>
      <w:pPr>
        <w:rPr>
          <w:color w:val="auto"/>
        </w:rPr>
      </w:pPr>
      <w:bookmarkStart w:id="208" w:name="_Toc20811"/>
      <w:r>
        <w:rPr>
          <w:rFonts w:hint="eastAsia"/>
          <w:color w:val="auto"/>
        </w:rPr>
        <w:br w:type="page"/>
      </w:r>
    </w:p>
    <w:p>
      <w:pPr>
        <w:pStyle w:val="2"/>
        <w:spacing w:before="156" w:after="156"/>
        <w:rPr>
          <w:color w:val="auto"/>
        </w:rPr>
      </w:pPr>
      <w:bookmarkStart w:id="209" w:name="_Toc20953"/>
      <w:r>
        <w:rPr>
          <w:rFonts w:hint="eastAsia"/>
          <w:color w:val="auto"/>
        </w:rPr>
        <w:t xml:space="preserve">第四章 </w:t>
      </w:r>
      <w:bookmarkEnd w:id="208"/>
      <w:r>
        <w:rPr>
          <w:rFonts w:hint="eastAsia"/>
          <w:color w:val="auto"/>
        </w:rPr>
        <w:t>节能措施分析</w:t>
      </w:r>
      <w:bookmarkEnd w:id="209"/>
    </w:p>
    <w:p>
      <w:pPr>
        <w:pStyle w:val="3"/>
        <w:spacing w:before="156" w:after="156"/>
        <w:rPr>
          <w:color w:val="auto"/>
        </w:rPr>
      </w:pPr>
      <w:bookmarkStart w:id="210" w:name="_Toc19044"/>
      <w:r>
        <w:rPr>
          <w:rFonts w:hint="eastAsia"/>
          <w:color w:val="auto"/>
        </w:rPr>
        <w:t>4.1建筑用能特点分析</w:t>
      </w:r>
      <w:bookmarkEnd w:id="210"/>
    </w:p>
    <w:p>
      <w:pPr>
        <w:rPr>
          <w:color w:val="auto"/>
        </w:rPr>
      </w:pPr>
      <w:r>
        <w:rPr>
          <w:rFonts w:hint="eastAsia"/>
          <w:color w:val="auto"/>
        </w:rPr>
        <w:t>三亚市公共建筑类型以办公、旅馆、商业为主。居住建筑以住宅为主。</w:t>
      </w:r>
    </w:p>
    <w:p>
      <w:pPr>
        <w:rPr>
          <w:rFonts w:ascii="仿宋_GB2312"/>
          <w:color w:val="auto"/>
        </w:rPr>
      </w:pPr>
      <w:r>
        <w:rPr>
          <w:rFonts w:hint="eastAsia" w:ascii="仿宋_GB2312" w:hAnsi="ˎ̥"/>
          <w:color w:val="auto"/>
        </w:rPr>
        <w:t>建筑物因其各自的目标人群和使用性质的不同，所具有功能目标和要求也会千差万别，根据建筑物使用功能的不同，大致划分为：办公建筑、商场建筑、旅馆建筑、居住建筑和其他建筑等类型。无论建筑物功能有何不同，其所消耗的能源种类根据建筑物内用能系统</w:t>
      </w:r>
      <w:r>
        <w:rPr>
          <w:rFonts w:hint="eastAsia" w:ascii="仿宋_GB2312"/>
          <w:color w:val="auto"/>
        </w:rPr>
        <w:t>的不同而有所差别，但一般仍以电为主，辅以天然气（或者液化石油气）、太阳能等。</w:t>
      </w:r>
    </w:p>
    <w:p>
      <w:pPr>
        <w:rPr>
          <w:color w:val="auto"/>
        </w:rPr>
      </w:pPr>
      <w:r>
        <w:rPr>
          <w:rFonts w:hint="eastAsia"/>
          <w:color w:val="auto"/>
        </w:rPr>
        <w:t>按照目前国际通行的分类，建筑能耗是指：民用建筑（包括居住建筑和公共建筑）使用过程中的能耗，主要包括采暖、空调、通风、热水供应、照明、炊事、家用电器以及电梯等方面的能耗，其中采暖、空调、通风三者的能耗总和占到65％左右。由于海南属于季风海洋性气候，夏天酷热，冬无严寒，年温差小，年平均气温高，基本无采暖方面的能耗，所以，公共建筑能耗集中在空调制冷和送风方面。</w:t>
      </w:r>
    </w:p>
    <w:p>
      <w:pPr>
        <w:ind w:firstLine="562"/>
        <w:rPr>
          <w:rFonts w:ascii="Calibri" w:hAnsi="Calibri"/>
          <w:b/>
          <w:bCs/>
          <w:color w:val="auto"/>
          <w:szCs w:val="24"/>
        </w:rPr>
      </w:pPr>
      <w:r>
        <w:rPr>
          <w:rFonts w:hint="eastAsia" w:ascii="Calibri" w:hAnsi="Calibri"/>
          <w:b/>
          <w:bCs/>
          <w:color w:val="auto"/>
          <w:szCs w:val="24"/>
        </w:rPr>
        <w:t>（1）办公建筑</w:t>
      </w:r>
    </w:p>
    <w:p>
      <w:pPr>
        <w:rPr>
          <w:rFonts w:ascii="Calibri" w:hAnsi="Calibri"/>
          <w:color w:val="auto"/>
          <w:szCs w:val="24"/>
        </w:rPr>
      </w:pPr>
      <w:r>
        <w:rPr>
          <w:rFonts w:hint="eastAsia" w:ascii="Calibri" w:hAnsi="Calibri"/>
          <w:color w:val="auto"/>
          <w:szCs w:val="24"/>
        </w:rPr>
        <w:t>办公建筑主要用能种类为电力和水，</w:t>
      </w:r>
      <w:r>
        <w:rPr>
          <w:rFonts w:hint="eastAsia"/>
          <w:color w:val="auto"/>
        </w:rPr>
        <w:t>其次是天然气和液化石油气以及少量的太阳能，而其它能源能耗基本为零。</w:t>
      </w:r>
      <w:r>
        <w:rPr>
          <w:rFonts w:hint="eastAsia" w:ascii="Calibri" w:hAnsi="Calibri"/>
          <w:color w:val="auto"/>
          <w:szCs w:val="24"/>
        </w:rPr>
        <w:t>用电系统包括照明和办公设备系统、空调系统和电梯系统以及其他用能系统。</w:t>
      </w:r>
      <w:r>
        <w:rPr>
          <w:rFonts w:hint="eastAsia"/>
          <w:color w:val="auto"/>
          <w:szCs w:val="24"/>
        </w:rPr>
        <w:t>如</w:t>
      </w:r>
      <w:r>
        <w:rPr>
          <w:rFonts w:hint="eastAsia" w:ascii="Calibri" w:hAnsi="Calibri"/>
          <w:color w:val="auto"/>
          <w:szCs w:val="24"/>
        </w:rPr>
        <w:t>电力公司进行检修而无法对该建筑进行供电时，采用燃油发电机对楼内进行供电，每年会有少量的柴油耗量。</w:t>
      </w:r>
      <w:r>
        <w:rPr>
          <w:rFonts w:hint="eastAsia"/>
          <w:color w:val="auto"/>
          <w:szCs w:val="24"/>
        </w:rPr>
        <w:t>水是指建筑内办公人员的生活用水。</w:t>
      </w:r>
    </w:p>
    <w:p>
      <w:pPr>
        <w:rPr>
          <w:color w:val="auto"/>
        </w:rPr>
      </w:pPr>
      <w:r>
        <w:rPr>
          <w:rFonts w:hint="eastAsia"/>
          <w:color w:val="auto"/>
        </w:rPr>
        <w:t>三亚办公建筑中，</w:t>
      </w:r>
      <w:r>
        <w:rPr>
          <w:rFonts w:hint="eastAsia" w:ascii="宋体" w:hAnsi="宋体"/>
          <w:color w:val="auto"/>
        </w:rPr>
        <w:t>党政机关办公建筑办公人数固定，用能时间固定，能耗比较稳定。办公建筑中安装中央空调系统的基本为大型建筑，中小建筑多采用分体空调。由于各办公建筑建造的年代不同，主要用能设备的能效差别较大。大部分办公建筑能源管理组织、能源系统的计量和能源管理的实施三个方面均有待改善。</w:t>
      </w:r>
    </w:p>
    <w:p>
      <w:pPr>
        <w:ind w:firstLine="562"/>
        <w:rPr>
          <w:b/>
          <w:bCs/>
          <w:color w:val="auto"/>
        </w:rPr>
      </w:pPr>
      <w:r>
        <w:rPr>
          <w:rFonts w:hint="eastAsia"/>
          <w:b/>
          <w:bCs/>
          <w:color w:val="auto"/>
        </w:rPr>
        <w:t>（2）旅馆建筑</w:t>
      </w:r>
    </w:p>
    <w:p>
      <w:pPr>
        <w:rPr>
          <w:color w:val="auto"/>
          <w:szCs w:val="24"/>
        </w:rPr>
      </w:pPr>
      <w:r>
        <w:rPr>
          <w:rFonts w:hint="eastAsia"/>
          <w:color w:val="auto"/>
        </w:rPr>
        <w:t>旅馆</w:t>
      </w:r>
      <w:r>
        <w:rPr>
          <w:color w:val="auto"/>
        </w:rPr>
        <w:t>建筑用能能源种类主要为电力、燃气</w:t>
      </w:r>
      <w:r>
        <w:rPr>
          <w:rFonts w:hint="eastAsia"/>
          <w:color w:val="auto"/>
        </w:rPr>
        <w:t>和水</w:t>
      </w:r>
      <w:r>
        <w:rPr>
          <w:color w:val="auto"/>
        </w:rPr>
        <w:t>，用能系统包括空调系统、电梯系统、照明系统、生活给排水系统和其他用能系统等。</w:t>
      </w:r>
      <w:r>
        <w:rPr>
          <w:color w:val="auto"/>
          <w:szCs w:val="24"/>
        </w:rPr>
        <w:t>电力供建筑内照明、空调、动力系统等使用，建筑所用燃气由</w:t>
      </w:r>
      <w:r>
        <w:rPr>
          <w:rFonts w:hint="eastAsia"/>
          <w:color w:val="auto"/>
        </w:rPr>
        <w:t>燃气</w:t>
      </w:r>
      <w:r>
        <w:rPr>
          <w:color w:val="auto"/>
        </w:rPr>
        <w:t>公司</w:t>
      </w:r>
      <w:r>
        <w:rPr>
          <w:color w:val="auto"/>
          <w:szCs w:val="24"/>
        </w:rPr>
        <w:t>提供。天然气供厨房和蒸汽锅炉使用，锅炉产生的蒸汽供洗衣房使用。</w:t>
      </w:r>
    </w:p>
    <w:p>
      <w:pPr>
        <w:rPr>
          <w:color w:val="auto"/>
        </w:rPr>
      </w:pPr>
      <w:r>
        <w:rPr>
          <w:rFonts w:hint="eastAsia"/>
          <w:color w:val="auto"/>
        </w:rPr>
        <w:t>旅馆建筑能耗差异较大。客房量较少的旅馆单位建筑面积能耗量相对较大，除单位客房能耗量较大，其余区域能耗也占了很大比重，如会议室和其他服务区域等。</w:t>
      </w:r>
    </w:p>
    <w:p>
      <w:pPr>
        <w:rPr>
          <w:color w:val="auto"/>
        </w:rPr>
      </w:pPr>
      <w:r>
        <w:rPr>
          <w:rFonts w:hint="eastAsia"/>
          <w:color w:val="auto"/>
        </w:rPr>
        <w:t>其次，旅馆建筑能耗与旅馆的星级高低、空调形式、建筑构造和建筑年代都有关联，2000年以后的旅馆能耗明显低于90年代建造的旅馆，2006年以来执行节能标准后，建筑能耗显著低于未执行节能标准建筑。</w:t>
      </w:r>
    </w:p>
    <w:p>
      <w:pPr>
        <w:rPr>
          <w:color w:val="auto"/>
        </w:rPr>
      </w:pPr>
      <w:r>
        <w:rPr>
          <w:rFonts w:hint="eastAsia"/>
          <w:color w:val="auto"/>
        </w:rPr>
        <w:t>从用能比例上来说，旅馆建筑空调负荷所占比重最大，基本上空调能耗占40%-60%；照明系统、动力系统能耗也占了较大比例。</w:t>
      </w:r>
    </w:p>
    <w:p>
      <w:pPr>
        <w:rPr>
          <w:color w:val="auto"/>
        </w:rPr>
      </w:pPr>
      <w:r>
        <w:rPr>
          <w:rFonts w:hint="eastAsia"/>
          <w:color w:val="auto"/>
        </w:rPr>
        <w:t>旅馆建筑管理单位一般都配备专门的能源管理机构，各种节能措施执行情况也比较好，而且旅馆星级越高、能源管理人员素质越高，管理水平也越高。</w:t>
      </w:r>
    </w:p>
    <w:p>
      <w:pPr>
        <w:ind w:firstLine="562"/>
        <w:rPr>
          <w:b/>
          <w:bCs/>
          <w:color w:val="auto"/>
        </w:rPr>
      </w:pPr>
      <w:r>
        <w:rPr>
          <w:rFonts w:hint="eastAsia"/>
          <w:b/>
          <w:bCs/>
          <w:color w:val="auto"/>
        </w:rPr>
        <w:t>（3）商店建筑</w:t>
      </w:r>
    </w:p>
    <w:p>
      <w:pPr>
        <w:rPr>
          <w:color w:val="auto"/>
        </w:rPr>
      </w:pPr>
      <w:r>
        <w:rPr>
          <w:rFonts w:hint="eastAsia"/>
          <w:color w:val="auto"/>
        </w:rPr>
        <w:t>商店建筑用能能源种类主要为电力，用能系统包括空调系统、电梯系统、照明系统和其他用能系统等。</w:t>
      </w:r>
    </w:p>
    <w:p>
      <w:pPr>
        <w:rPr>
          <w:color w:val="auto"/>
        </w:rPr>
      </w:pPr>
      <w:r>
        <w:rPr>
          <w:rFonts w:hint="eastAsia"/>
          <w:color w:val="auto"/>
        </w:rPr>
        <w:t>商业建筑运营时间长，基本每天运营时间达到12小时以上，因此能耗较高。依据《商场、超市单位电耗限额》，商场建筑中限定建筑能耗的执行范围设定在营业面积≥6000</w:t>
      </w:r>
      <w:r>
        <w:rPr>
          <w:color w:val="auto"/>
        </w:rPr>
        <w:t>平方米</w:t>
      </w:r>
      <w:r>
        <w:rPr>
          <w:rFonts w:hint="eastAsia"/>
          <w:color w:val="auto"/>
        </w:rPr>
        <w:t>的商场和营业面积≥2000</w:t>
      </w:r>
      <w:r>
        <w:rPr>
          <w:color w:val="auto"/>
        </w:rPr>
        <w:t>平方米</w:t>
      </w:r>
      <w:r>
        <w:rPr>
          <w:rFonts w:hint="eastAsia"/>
          <w:color w:val="auto"/>
        </w:rPr>
        <w:t>的超市。大型商场、大型超市均以“营业面积”作为基础计算依据。</w:t>
      </w:r>
    </w:p>
    <w:p>
      <w:pPr>
        <w:rPr>
          <w:color w:val="auto"/>
        </w:rPr>
      </w:pPr>
      <w:r>
        <w:rPr>
          <w:rFonts w:hint="eastAsia"/>
          <w:color w:val="auto"/>
        </w:rPr>
        <w:t>商店建筑一般人员密度大，全年无节假日运行，且运营时间长，基本每天运营时间达到12小时以上，因此能耗较高。其次，营业面积≥6000</w:t>
      </w:r>
      <w:r>
        <w:rPr>
          <w:color w:val="auto"/>
        </w:rPr>
        <w:t>平方米</w:t>
      </w:r>
      <w:r>
        <w:rPr>
          <w:rFonts w:hint="eastAsia"/>
          <w:color w:val="auto"/>
        </w:rPr>
        <w:t>的商场和营业面积≥2000</w:t>
      </w:r>
      <w:r>
        <w:rPr>
          <w:color w:val="auto"/>
        </w:rPr>
        <w:t>平方米</w:t>
      </w:r>
      <w:r>
        <w:rPr>
          <w:rFonts w:hint="eastAsia"/>
          <w:color w:val="auto"/>
        </w:rPr>
        <w:t>的超市，基本都安装有中央空调、冷链等大功能用能设备，部分2000</w:t>
      </w:r>
      <w:r>
        <w:rPr>
          <w:color w:val="auto"/>
        </w:rPr>
        <w:t>平方米</w:t>
      </w:r>
      <w:r>
        <w:rPr>
          <w:rFonts w:hint="eastAsia"/>
          <w:color w:val="auto"/>
        </w:rPr>
        <w:t>以上的综合超市还安装有生鲜、熟食加工等用能设备。因此，商场建筑单位建筑面积能耗大，单位建筑面积能耗在100kWh/(m</w:t>
      </w:r>
      <w:r>
        <w:rPr>
          <w:rFonts w:hint="eastAsia"/>
          <w:color w:val="auto"/>
          <w:vertAlign w:val="superscript"/>
        </w:rPr>
        <w:t>2</w:t>
      </w:r>
      <w:r>
        <w:rPr>
          <w:rFonts w:hint="eastAsia"/>
          <w:color w:val="auto"/>
        </w:rPr>
        <w:t>·yr)~300kWh/(m</w:t>
      </w:r>
      <w:r>
        <w:rPr>
          <w:rFonts w:hint="eastAsia"/>
          <w:color w:val="auto"/>
          <w:vertAlign w:val="superscript"/>
        </w:rPr>
        <w:t>2</w:t>
      </w:r>
      <w:r>
        <w:rPr>
          <w:rFonts w:hint="eastAsia"/>
          <w:color w:val="auto"/>
        </w:rPr>
        <w:t>·yr)之间，大部分为100-200kWh/(m</w:t>
      </w:r>
      <w:r>
        <w:rPr>
          <w:rFonts w:hint="eastAsia"/>
          <w:color w:val="auto"/>
          <w:vertAlign w:val="superscript"/>
        </w:rPr>
        <w:t>2</w:t>
      </w:r>
      <w:r>
        <w:rPr>
          <w:rFonts w:hint="eastAsia"/>
          <w:color w:val="auto"/>
        </w:rPr>
        <w:t>·yr)之间。从全年各项能耗比例来说，空调系统能耗较大，相对于照明和其他类型建筑比较能耗所占比例要大很多，且其电梯也占能耗的相当一部分比例。</w:t>
      </w:r>
    </w:p>
    <w:p>
      <w:pPr>
        <w:rPr>
          <w:color w:val="auto"/>
        </w:rPr>
      </w:pPr>
      <w:r>
        <w:rPr>
          <w:rFonts w:hint="eastAsia"/>
          <w:color w:val="auto"/>
        </w:rPr>
        <w:t>大部分商场设有对能耗进行管理的工程部进行日常运行记录及维护，但多数成员准也技术水平不高，日常工作只停留在机组、设备开关。大部分商场未设有能耗监测系统进行分项计量，不利于建筑能耗分析。</w:t>
      </w:r>
    </w:p>
    <w:p>
      <w:pPr>
        <w:ind w:firstLine="562"/>
        <w:rPr>
          <w:rFonts w:ascii="宋体" w:hAnsi="宋体"/>
          <w:b/>
          <w:bCs/>
          <w:color w:val="auto"/>
        </w:rPr>
      </w:pPr>
      <w:r>
        <w:rPr>
          <w:rFonts w:hint="eastAsia" w:ascii="宋体" w:hAnsi="宋体"/>
          <w:b/>
          <w:bCs/>
          <w:color w:val="auto"/>
        </w:rPr>
        <w:t>（4）学校建筑</w:t>
      </w:r>
    </w:p>
    <w:p>
      <w:pPr>
        <w:rPr>
          <w:rFonts w:ascii="宋体" w:hAnsi="宋体"/>
          <w:color w:val="auto"/>
        </w:rPr>
      </w:pPr>
      <w:r>
        <w:rPr>
          <w:rFonts w:hint="eastAsia" w:ascii="宋体" w:hAnsi="宋体"/>
          <w:color w:val="auto"/>
        </w:rPr>
        <w:t>学校建筑一般采用分体式空调且能耗大的用能设备比较少，尤其是中小学校。学校建筑总体能耗较低。学校建筑在能源管理和计量方面是薄弱点，需要进一步改进。</w:t>
      </w:r>
    </w:p>
    <w:p>
      <w:pPr>
        <w:ind w:firstLine="562"/>
        <w:rPr>
          <w:b/>
          <w:bCs/>
          <w:color w:val="auto"/>
        </w:rPr>
      </w:pPr>
      <w:r>
        <w:rPr>
          <w:rFonts w:hint="eastAsia"/>
          <w:b/>
          <w:bCs/>
          <w:color w:val="auto"/>
        </w:rPr>
        <w:t>（5）医疗建筑</w:t>
      </w:r>
    </w:p>
    <w:p>
      <w:pPr>
        <w:rPr>
          <w:color w:val="auto"/>
        </w:rPr>
      </w:pPr>
      <w:r>
        <w:rPr>
          <w:rFonts w:hint="eastAsia"/>
          <w:color w:val="auto"/>
        </w:rPr>
        <w:t>医疗建筑功能复杂，医院包括病房、信息楼、综合楼等不同功能的建筑，规模差别较大，分体空调和中央空调均有采用。建筑单位面积能耗量相差较大。采用中央空调的建筑单位面积能耗量较大，相应地分体空调能耗量较小。此外，医疗的能耗状况与其建筑功能有直接关系，如建筑采用大型医疗仪器较多，能耗量相对就会较大。目前现有医疗建筑在能源管理上基本没有成立专门的部门，缺少细致、可实施的管理制度。</w:t>
      </w:r>
    </w:p>
    <w:p>
      <w:pPr>
        <w:ind w:firstLine="562"/>
        <w:rPr>
          <w:rFonts w:ascii="Calibri" w:hAnsi="Calibri"/>
          <w:b/>
          <w:bCs/>
          <w:color w:val="auto"/>
          <w:szCs w:val="24"/>
        </w:rPr>
      </w:pPr>
      <w:r>
        <w:rPr>
          <w:rFonts w:hint="eastAsia" w:ascii="Calibri" w:hAnsi="Calibri"/>
          <w:b/>
          <w:bCs/>
          <w:color w:val="auto"/>
          <w:szCs w:val="24"/>
        </w:rPr>
        <w:t>（6）居住建筑</w:t>
      </w:r>
    </w:p>
    <w:p>
      <w:pPr>
        <w:rPr>
          <w:rFonts w:ascii="Calibri" w:hAnsi="Calibri"/>
          <w:color w:val="auto"/>
          <w:szCs w:val="24"/>
        </w:rPr>
      </w:pPr>
      <w:r>
        <w:rPr>
          <w:rFonts w:hint="eastAsia" w:ascii="Calibri" w:hAnsi="Calibri"/>
          <w:color w:val="auto"/>
          <w:szCs w:val="24"/>
        </w:rPr>
        <w:t>居住建筑能源种类主要是电力、</w:t>
      </w:r>
      <w:r>
        <w:rPr>
          <w:rFonts w:hint="eastAsia"/>
          <w:color w:val="auto"/>
        </w:rPr>
        <w:t>天然气、液化石油气</w:t>
      </w:r>
      <w:r>
        <w:rPr>
          <w:rFonts w:hint="eastAsia" w:ascii="Calibri" w:hAnsi="Calibri"/>
          <w:color w:val="auto"/>
          <w:szCs w:val="24"/>
        </w:rPr>
        <w:t>和水。电力供建筑内照明、空调、动力系统等使用，当电力公司进行检修而无法对该建筑进行供电时，采用燃油发电机对楼内进行供电，因此每年有少量的柴油耗量。</w:t>
      </w:r>
    </w:p>
    <w:p>
      <w:pPr>
        <w:pStyle w:val="3"/>
        <w:spacing w:before="156" w:after="156"/>
        <w:rPr>
          <w:color w:val="auto"/>
        </w:rPr>
      </w:pPr>
      <w:bookmarkStart w:id="211" w:name="_Toc23605"/>
      <w:r>
        <w:rPr>
          <w:rFonts w:hint="eastAsia"/>
          <w:color w:val="auto"/>
        </w:rPr>
        <w:t>4</w:t>
      </w:r>
      <w:r>
        <w:rPr>
          <w:color w:val="auto"/>
        </w:rPr>
        <w:t>.2</w:t>
      </w:r>
      <w:r>
        <w:rPr>
          <w:rFonts w:hint="eastAsia"/>
          <w:color w:val="auto"/>
        </w:rPr>
        <w:t>新建建筑节能技术措施</w:t>
      </w:r>
      <w:bookmarkEnd w:id="211"/>
    </w:p>
    <w:p>
      <w:pPr>
        <w:rPr>
          <w:color w:val="auto"/>
        </w:rPr>
      </w:pPr>
      <w:r>
        <w:rPr>
          <w:rFonts w:hint="eastAsia"/>
          <w:color w:val="auto"/>
        </w:rPr>
        <w:t>随着节能工作的推进，技术标准日趋完善。目前，国家和海南省已建立完善的建筑节能技术标准体系。三亚</w:t>
      </w:r>
      <w:r>
        <w:rPr>
          <w:color w:val="auto"/>
        </w:rPr>
        <w:t>市</w:t>
      </w:r>
      <w:r>
        <w:rPr>
          <w:rFonts w:hint="eastAsia"/>
          <w:color w:val="auto"/>
        </w:rPr>
        <w:t>新建建筑设计阶段基本执行50%节能率的国家节能标准要求。目前</w:t>
      </w:r>
      <w:r>
        <w:rPr>
          <w:color w:val="auto"/>
        </w:rPr>
        <w:t>城镇新建建筑设计和施工阶段节能强制性标准执行率</w:t>
      </w:r>
      <w:r>
        <w:rPr>
          <w:rFonts w:hint="eastAsia"/>
          <w:color w:val="auto"/>
        </w:rPr>
        <w:t>已达</w:t>
      </w:r>
      <w:r>
        <w:rPr>
          <w:color w:val="auto"/>
        </w:rPr>
        <w:t>100%。</w:t>
      </w:r>
    </w:p>
    <w:p>
      <w:pPr>
        <w:rPr>
          <w:color w:val="auto"/>
        </w:rPr>
      </w:pPr>
      <w:r>
        <w:rPr>
          <w:rFonts w:hint="eastAsia"/>
          <w:color w:val="auto"/>
        </w:rPr>
        <w:t>对于新建建筑来说，应</w:t>
      </w:r>
      <w:r>
        <w:rPr>
          <w:color w:val="auto"/>
        </w:rPr>
        <w:t>严格保障建筑节能标准执行质量和水平，</w:t>
      </w:r>
      <w:r>
        <w:rPr>
          <w:rFonts w:hint="eastAsia"/>
          <w:color w:val="auto"/>
        </w:rPr>
        <w:t>落实相关节能措施和要求，同时满足《海南省绿色建筑设计说明专篇（2019年版）》相关要求。</w:t>
      </w:r>
    </w:p>
    <w:p>
      <w:pPr>
        <w:pStyle w:val="4"/>
        <w:rPr>
          <w:color w:val="auto"/>
        </w:rPr>
      </w:pPr>
      <w:bookmarkStart w:id="212" w:name="_Toc11800"/>
      <w:r>
        <w:rPr>
          <w:rFonts w:hint="eastAsia"/>
          <w:color w:val="auto"/>
        </w:rPr>
        <w:t>4</w:t>
      </w:r>
      <w:r>
        <w:rPr>
          <w:color w:val="auto"/>
        </w:rPr>
        <w:t>.2.1总平面</w:t>
      </w:r>
      <w:bookmarkEnd w:id="212"/>
    </w:p>
    <w:p>
      <w:pPr>
        <w:rPr>
          <w:color w:val="auto"/>
        </w:rPr>
      </w:pPr>
      <w:r>
        <w:rPr>
          <w:rFonts w:hint="eastAsia"/>
          <w:color w:val="auto"/>
        </w:rPr>
        <w:t>优化场地环境。建筑布局应注重建筑朝向，尽可能采用南北向布局。建筑总平面设计有利于夏季及过渡季节自然通风。建筑物周围人行区冬季风速低于5m/s，不影响室外活动的舒适性和建筑通风。场地环境噪声符合现行国家标准《声环境质量标准》GB 3096的规定。</w:t>
      </w:r>
    </w:p>
    <w:p>
      <w:pPr>
        <w:rPr>
          <w:color w:val="auto"/>
        </w:rPr>
      </w:pPr>
      <w:r>
        <w:rPr>
          <w:rFonts w:hint="eastAsia"/>
          <w:color w:val="auto"/>
        </w:rPr>
        <w:t>满足日照与遮阳要求。不对周边建筑物带来光污染，不影响周围居住建筑的日照要求。居住建筑满足冬至日≥1h的日照标准。夏热冬暖地区的建筑各朝向外窗（包括玻璃幕墙）均应采取遮阳措施。</w:t>
      </w:r>
    </w:p>
    <w:p>
      <w:pPr>
        <w:rPr>
          <w:color w:val="auto"/>
        </w:rPr>
      </w:pPr>
      <w:r>
        <w:rPr>
          <w:rFonts w:hint="eastAsia"/>
          <w:color w:val="auto"/>
        </w:rPr>
        <w:t>建筑布局。场地布局应利用场地自然条件，合理设计建筑体形、朝向、楼距，总平面设计有利于夏季及过渡季节自然通风。</w:t>
      </w:r>
    </w:p>
    <w:p>
      <w:pPr>
        <w:rPr>
          <w:color w:val="auto"/>
        </w:rPr>
      </w:pPr>
      <w:r>
        <w:rPr>
          <w:rFonts w:hint="eastAsia"/>
          <w:color w:val="auto"/>
        </w:rPr>
        <w:t>降低热岛强度。通过采取措施降低场地热岛强度，可采用乔木遮阴、选用遮阴面积较大的行道树，采用大阳光发射比不小于0.4的屋面等措施</w:t>
      </w:r>
    </w:p>
    <w:p>
      <w:pPr>
        <w:pStyle w:val="4"/>
        <w:rPr>
          <w:color w:val="auto"/>
        </w:rPr>
      </w:pPr>
      <w:bookmarkStart w:id="213" w:name="_Toc30039"/>
      <w:r>
        <w:rPr>
          <w:rFonts w:hint="eastAsia"/>
          <w:color w:val="auto"/>
        </w:rPr>
        <w:t>4</w:t>
      </w:r>
      <w:r>
        <w:rPr>
          <w:color w:val="auto"/>
        </w:rPr>
        <w:t>.2.2建筑围护结构的热工性能</w:t>
      </w:r>
      <w:r>
        <w:rPr>
          <w:rStyle w:val="38"/>
          <w:color w:val="auto"/>
        </w:rPr>
        <w:footnoteReference w:id="4"/>
      </w:r>
      <w:bookmarkEnd w:id="213"/>
    </w:p>
    <w:p>
      <w:pPr>
        <w:rPr>
          <w:color w:val="auto"/>
        </w:rPr>
      </w:pPr>
      <w:r>
        <w:rPr>
          <w:rFonts w:hint="eastAsia"/>
          <w:color w:val="auto"/>
        </w:rPr>
        <w:t>1</w:t>
      </w:r>
      <w:r>
        <w:rPr>
          <w:color w:val="auto"/>
        </w:rPr>
        <w:t>、屋面</w:t>
      </w:r>
    </w:p>
    <w:p>
      <w:pPr>
        <w:rPr>
          <w:color w:val="auto"/>
        </w:rPr>
      </w:pPr>
      <w:r>
        <w:rPr>
          <w:rFonts w:hint="eastAsia"/>
          <w:color w:val="auto"/>
        </w:rPr>
        <w:t>甲类公共建筑屋面平均传热系数 [W/(m</w:t>
      </w:r>
      <w:r>
        <w:rPr>
          <w:rFonts w:hint="eastAsia"/>
          <w:color w:val="auto"/>
          <w:vertAlign w:val="superscript"/>
        </w:rPr>
        <w:t>2</w:t>
      </w:r>
      <w:r>
        <w:rPr>
          <w:rFonts w:hint="eastAsia"/>
          <w:color w:val="auto"/>
        </w:rPr>
        <w:t>·K)]与平均热惰性指标D 应满足：</w:t>
      </w:r>
    </w:p>
    <w:p>
      <w:pPr>
        <w:rPr>
          <w:color w:val="auto"/>
        </w:rPr>
      </w:pPr>
      <w:r>
        <w:rPr>
          <w:rFonts w:hint="eastAsia"/>
          <w:color w:val="auto"/>
        </w:rPr>
        <w:t>K≤0.5，D≤2.5</w:t>
      </w:r>
    </w:p>
    <w:p>
      <w:pPr>
        <w:rPr>
          <w:color w:val="auto"/>
        </w:rPr>
      </w:pPr>
      <w:r>
        <w:rPr>
          <w:rFonts w:hint="eastAsia"/>
          <w:color w:val="auto"/>
        </w:rPr>
        <w:t>K≤0.8，D＞2.5；</w:t>
      </w:r>
    </w:p>
    <w:p>
      <w:pPr>
        <w:rPr>
          <w:color w:val="auto"/>
        </w:rPr>
      </w:pPr>
      <w:r>
        <w:rPr>
          <w:rFonts w:hint="eastAsia"/>
          <w:color w:val="auto"/>
        </w:rPr>
        <w:t>乙类公共建筑屋面平均传热系数 [W/(m</w:t>
      </w:r>
      <w:r>
        <w:rPr>
          <w:rFonts w:hint="eastAsia"/>
          <w:color w:val="auto"/>
          <w:vertAlign w:val="superscript"/>
        </w:rPr>
        <w:t>2</w:t>
      </w:r>
      <w:r>
        <w:rPr>
          <w:rFonts w:hint="eastAsia"/>
          <w:color w:val="auto"/>
        </w:rPr>
        <w:t>·K)] 应满足K≤0.90；</w:t>
      </w:r>
    </w:p>
    <w:p>
      <w:pPr>
        <w:rPr>
          <w:color w:val="auto"/>
        </w:rPr>
      </w:pPr>
      <w:r>
        <w:rPr>
          <w:rFonts w:hint="eastAsia"/>
          <w:color w:val="auto"/>
        </w:rPr>
        <w:t>居住建筑屋面平均传热系数 [W/(m</w:t>
      </w:r>
      <w:r>
        <w:rPr>
          <w:rFonts w:hint="eastAsia"/>
          <w:color w:val="auto"/>
          <w:vertAlign w:val="superscript"/>
        </w:rPr>
        <w:t>2</w:t>
      </w:r>
      <w:r>
        <w:rPr>
          <w:rFonts w:hint="eastAsia"/>
          <w:color w:val="auto"/>
        </w:rPr>
        <w:t>·K)]与平均热惰性指标D 应满足：</w:t>
      </w:r>
    </w:p>
    <w:p>
      <w:pPr>
        <w:rPr>
          <w:color w:val="auto"/>
        </w:rPr>
      </w:pPr>
      <w:r>
        <w:rPr>
          <w:rFonts w:hint="eastAsia"/>
          <w:color w:val="auto"/>
        </w:rPr>
        <w:t>K≤0.9，D≥2.5</w:t>
      </w:r>
    </w:p>
    <w:p>
      <w:pPr>
        <w:rPr>
          <w:color w:val="auto"/>
        </w:rPr>
      </w:pPr>
      <w:r>
        <w:rPr>
          <w:rFonts w:hint="eastAsia"/>
          <w:color w:val="auto"/>
        </w:rPr>
        <w:t>K≤0.4（轻质材料）。</w:t>
      </w:r>
    </w:p>
    <w:p>
      <w:pPr>
        <w:rPr>
          <w:color w:val="auto"/>
        </w:rPr>
      </w:pPr>
      <w:r>
        <w:rPr>
          <w:rFonts w:hint="eastAsia"/>
          <w:color w:val="auto"/>
        </w:rPr>
        <w:t>2</w:t>
      </w:r>
      <w:r>
        <w:rPr>
          <w:color w:val="auto"/>
        </w:rPr>
        <w:t>、外墙</w:t>
      </w:r>
    </w:p>
    <w:p>
      <w:pPr>
        <w:rPr>
          <w:color w:val="auto"/>
        </w:rPr>
      </w:pPr>
      <w:r>
        <w:rPr>
          <w:rFonts w:hint="eastAsia"/>
          <w:color w:val="auto"/>
        </w:rPr>
        <w:t>甲类公共建筑外墙平均传热系数 [W/(m</w:t>
      </w:r>
      <w:r>
        <w:rPr>
          <w:rFonts w:hint="eastAsia"/>
          <w:color w:val="auto"/>
          <w:vertAlign w:val="superscript"/>
        </w:rPr>
        <w:t>2</w:t>
      </w:r>
      <w:r>
        <w:rPr>
          <w:rFonts w:hint="eastAsia"/>
          <w:color w:val="auto"/>
        </w:rPr>
        <w:t>·K)]与平均热惰性指标D 应满足：</w:t>
      </w:r>
    </w:p>
    <w:p>
      <w:pPr>
        <w:rPr>
          <w:color w:val="auto"/>
        </w:rPr>
      </w:pPr>
      <w:r>
        <w:rPr>
          <w:rFonts w:hint="eastAsia"/>
          <w:color w:val="auto"/>
        </w:rPr>
        <w:t>K≤0.8，D≤2.5</w:t>
      </w:r>
    </w:p>
    <w:p>
      <w:pPr>
        <w:rPr>
          <w:color w:val="auto"/>
        </w:rPr>
      </w:pPr>
      <w:r>
        <w:rPr>
          <w:rFonts w:hint="eastAsia"/>
          <w:color w:val="auto"/>
        </w:rPr>
        <w:t>K≤1.5，D＞2.5；</w:t>
      </w:r>
    </w:p>
    <w:p>
      <w:pPr>
        <w:rPr>
          <w:color w:val="auto"/>
        </w:rPr>
      </w:pPr>
      <w:r>
        <w:rPr>
          <w:rFonts w:hint="eastAsia"/>
          <w:color w:val="auto"/>
        </w:rPr>
        <w:t>乙类公共建筑外墙平均传热系数 [W/(m</w:t>
      </w:r>
      <w:r>
        <w:rPr>
          <w:rFonts w:hint="eastAsia"/>
          <w:color w:val="auto"/>
          <w:vertAlign w:val="superscript"/>
        </w:rPr>
        <w:t>2</w:t>
      </w:r>
      <w:r>
        <w:rPr>
          <w:rFonts w:hint="eastAsia"/>
          <w:color w:val="auto"/>
        </w:rPr>
        <w:t>·K)] 应满足K≤0.1.5；</w:t>
      </w:r>
    </w:p>
    <w:p>
      <w:pPr>
        <w:rPr>
          <w:color w:val="auto"/>
        </w:rPr>
      </w:pPr>
      <w:r>
        <w:rPr>
          <w:rFonts w:hint="eastAsia"/>
          <w:color w:val="auto"/>
        </w:rPr>
        <w:t>居住建筑外墙平均传热系数 [W/(m</w:t>
      </w:r>
      <w:r>
        <w:rPr>
          <w:rFonts w:hint="eastAsia"/>
          <w:color w:val="auto"/>
          <w:vertAlign w:val="superscript"/>
        </w:rPr>
        <w:t>2</w:t>
      </w:r>
      <w:r>
        <w:rPr>
          <w:rFonts w:hint="eastAsia"/>
          <w:color w:val="auto"/>
        </w:rPr>
        <w:t>·K)]与平均热惰性指标D 应满足：</w:t>
      </w:r>
    </w:p>
    <w:p>
      <w:pPr>
        <w:rPr>
          <w:color w:val="auto"/>
        </w:rPr>
      </w:pPr>
      <w:r>
        <w:rPr>
          <w:rFonts w:hint="eastAsia"/>
          <w:color w:val="auto"/>
        </w:rPr>
        <w:t>2.0＜K≤2.5，D≥3.0；1.5＜K≤2.0，D≥2.8；</w:t>
      </w:r>
    </w:p>
    <w:p>
      <w:pPr>
        <w:rPr>
          <w:rFonts w:eastAsia="仿宋_GB2312"/>
          <w:color w:val="auto"/>
        </w:rPr>
      </w:pPr>
      <w:r>
        <w:rPr>
          <w:rFonts w:hint="eastAsia"/>
          <w:color w:val="auto"/>
        </w:rPr>
        <w:t>0.7＜K≤1.5，D≥2.5； K≤0.7（轻质材料）。</w:t>
      </w:r>
    </w:p>
    <w:p>
      <w:pPr>
        <w:rPr>
          <w:color w:val="auto"/>
        </w:rPr>
      </w:pPr>
      <w:r>
        <w:rPr>
          <w:rFonts w:hint="eastAsia"/>
          <w:color w:val="auto"/>
        </w:rPr>
        <w:t>3</w:t>
      </w:r>
      <w:r>
        <w:rPr>
          <w:color w:val="auto"/>
        </w:rPr>
        <w:t>、</w:t>
      </w:r>
      <w:r>
        <w:rPr>
          <w:rFonts w:hint="eastAsia"/>
          <w:color w:val="auto"/>
        </w:rPr>
        <w:t>接触室外空气的架空或外挑楼板</w:t>
      </w:r>
    </w:p>
    <w:p>
      <w:pPr>
        <w:rPr>
          <w:color w:val="auto"/>
        </w:rPr>
      </w:pPr>
      <w:r>
        <w:rPr>
          <w:rFonts w:hint="eastAsia"/>
          <w:color w:val="auto"/>
        </w:rPr>
        <w:t>传热系数 [W/(m</w:t>
      </w:r>
      <w:r>
        <w:rPr>
          <w:rFonts w:hint="eastAsia"/>
          <w:color w:val="auto"/>
          <w:vertAlign w:val="superscript"/>
        </w:rPr>
        <w:t>2</w:t>
      </w:r>
      <w:r>
        <w:rPr>
          <w:rFonts w:hint="eastAsia"/>
          <w:color w:val="auto"/>
        </w:rPr>
        <w:t>·K)]</w:t>
      </w:r>
      <w:r>
        <w:rPr>
          <w:color w:val="auto"/>
        </w:rPr>
        <w:t>应满足：</w:t>
      </w:r>
      <w:r>
        <w:rPr>
          <w:rFonts w:hint="eastAsia"/>
          <w:color w:val="auto"/>
        </w:rPr>
        <w:t>K≤1.5</w:t>
      </w:r>
      <w:r>
        <w:rPr>
          <w:color w:val="auto"/>
        </w:rPr>
        <w:t>。</w:t>
      </w:r>
    </w:p>
    <w:p>
      <w:pPr>
        <w:rPr>
          <w:color w:val="auto"/>
        </w:rPr>
      </w:pPr>
      <w:r>
        <w:rPr>
          <w:rFonts w:hint="eastAsia"/>
          <w:color w:val="auto"/>
        </w:rPr>
        <w:t>4</w:t>
      </w:r>
      <w:r>
        <w:rPr>
          <w:color w:val="auto"/>
        </w:rPr>
        <w:t>、</w:t>
      </w:r>
      <w:r>
        <w:rPr>
          <w:rFonts w:hint="eastAsia"/>
          <w:color w:val="auto"/>
        </w:rPr>
        <w:t>屋顶透明部分（水平天窗、采光顶）</w:t>
      </w:r>
      <w:r>
        <w:rPr>
          <w:rFonts w:hint="eastAsia"/>
          <w:color w:val="auto"/>
        </w:rPr>
        <w:tab/>
      </w:r>
    </w:p>
    <w:p>
      <w:pPr>
        <w:rPr>
          <w:color w:val="auto"/>
        </w:rPr>
      </w:pPr>
      <w:r>
        <w:rPr>
          <w:rFonts w:hint="eastAsia"/>
          <w:color w:val="auto"/>
        </w:rPr>
        <w:t>甲类公共建筑天窗面积占屋顶面积比例</w:t>
      </w:r>
      <w:r>
        <w:rPr>
          <w:rFonts w:hint="eastAsia"/>
          <w:color w:val="auto"/>
        </w:rPr>
        <w:tab/>
      </w:r>
      <w:r>
        <w:rPr>
          <w:rFonts w:hint="eastAsia"/>
          <w:color w:val="auto"/>
        </w:rPr>
        <w:t>≤屋顶总面积的 20%</w:t>
      </w:r>
      <w:r>
        <w:rPr>
          <w:color w:val="auto"/>
        </w:rPr>
        <w:t>；</w:t>
      </w:r>
      <w:r>
        <w:rPr>
          <w:rFonts w:hint="eastAsia"/>
          <w:color w:val="auto"/>
        </w:rPr>
        <w:t>传热系数K≤3.0，SHGC≤0.30</w:t>
      </w:r>
      <w:r>
        <w:rPr>
          <w:color w:val="auto"/>
        </w:rPr>
        <w:t>。</w:t>
      </w:r>
    </w:p>
    <w:p>
      <w:pPr>
        <w:rPr>
          <w:color w:val="auto"/>
        </w:rPr>
      </w:pPr>
      <w:r>
        <w:rPr>
          <w:rFonts w:hint="eastAsia"/>
          <w:color w:val="auto"/>
        </w:rPr>
        <w:t>乙类公共建筑天窗面积占屋顶面积比例</w:t>
      </w:r>
      <w:r>
        <w:rPr>
          <w:rFonts w:hint="eastAsia"/>
          <w:color w:val="auto"/>
        </w:rPr>
        <w:tab/>
      </w:r>
      <w:r>
        <w:rPr>
          <w:rFonts w:hint="eastAsia"/>
          <w:color w:val="auto"/>
        </w:rPr>
        <w:t>≤屋顶总面积的 20%</w:t>
      </w:r>
      <w:r>
        <w:rPr>
          <w:color w:val="auto"/>
        </w:rPr>
        <w:t>；</w:t>
      </w:r>
      <w:r>
        <w:rPr>
          <w:rFonts w:hint="eastAsia"/>
          <w:color w:val="auto"/>
        </w:rPr>
        <w:t>传热系数K≤4.0，SHGC≤0.30</w:t>
      </w:r>
      <w:r>
        <w:rPr>
          <w:color w:val="auto"/>
        </w:rPr>
        <w:t>。</w:t>
      </w:r>
    </w:p>
    <w:p>
      <w:pPr>
        <w:rPr>
          <w:color w:val="auto"/>
        </w:rPr>
      </w:pPr>
      <w:r>
        <w:rPr>
          <w:rFonts w:hint="eastAsia"/>
          <w:color w:val="auto"/>
        </w:rPr>
        <w:t>5</w:t>
      </w:r>
      <w:r>
        <w:rPr>
          <w:color w:val="auto"/>
        </w:rPr>
        <w:t>、</w:t>
      </w:r>
      <w:r>
        <w:rPr>
          <w:rFonts w:hint="eastAsia"/>
          <w:color w:val="auto"/>
        </w:rPr>
        <w:t>外窗</w:t>
      </w:r>
    </w:p>
    <w:p>
      <w:pPr>
        <w:rPr>
          <w:color w:val="auto"/>
        </w:rPr>
      </w:pPr>
      <w:r>
        <w:rPr>
          <w:rFonts w:hint="eastAsia"/>
          <w:color w:val="auto"/>
        </w:rPr>
        <w:t>外窗传热系数、遮阳系数、太阳得热系数、气密性、水密性、抗风压性能等</w:t>
      </w:r>
      <w:r>
        <w:rPr>
          <w:color w:val="auto"/>
        </w:rPr>
        <w:t>应满足相关规范要求</w:t>
      </w:r>
      <w:r>
        <w:rPr>
          <w:rFonts w:hint="eastAsia"/>
          <w:color w:val="auto"/>
        </w:rPr>
        <w:t>。</w:t>
      </w:r>
    </w:p>
    <w:p>
      <w:pPr>
        <w:rPr>
          <w:color w:val="auto"/>
        </w:rPr>
      </w:pPr>
      <w:r>
        <w:rPr>
          <w:color w:val="auto"/>
        </w:rPr>
        <w:t>公共建筑</w:t>
      </w:r>
      <w:r>
        <w:rPr>
          <w:rFonts w:hint="eastAsia"/>
          <w:color w:val="auto"/>
        </w:rPr>
        <w:t>每个朝向的窗墙面积比不宜大于0.70；外窗的有效通风换气面积不宜小于所在房间外墙面积的10%；透明幕墙应具有可开启部分或设有通风换气装置。</w:t>
      </w:r>
    </w:p>
    <w:p>
      <w:pPr>
        <w:rPr>
          <w:color w:val="auto"/>
        </w:rPr>
      </w:pPr>
      <w:r>
        <w:rPr>
          <w:rFonts w:hint="eastAsia"/>
          <w:color w:val="auto"/>
        </w:rPr>
        <w:t>居住建筑外窗的通风开口面积不应小于房间地面面积的10％或外窗面积的45％；主要房间的房间窗地面积比不应小于1/7；通风路径的设计应满足自然通风要求。窗墙比南、北向≤0.4；东、西向≤0.3；东西向外遮阳系数SD不应大于0.8。</w:t>
      </w:r>
    </w:p>
    <w:p>
      <w:pPr>
        <w:pStyle w:val="4"/>
        <w:rPr>
          <w:color w:val="auto"/>
        </w:rPr>
      </w:pPr>
      <w:bookmarkStart w:id="214" w:name="_Toc12307"/>
      <w:r>
        <w:rPr>
          <w:rFonts w:hint="eastAsia"/>
          <w:color w:val="auto"/>
        </w:rPr>
        <w:t>4</w:t>
      </w:r>
      <w:r>
        <w:rPr>
          <w:color w:val="auto"/>
        </w:rPr>
        <w:t>.2.3</w:t>
      </w:r>
      <w:r>
        <w:rPr>
          <w:rFonts w:hint="eastAsia"/>
          <w:color w:val="auto"/>
        </w:rPr>
        <w:t>节水措施</w:t>
      </w:r>
      <w:bookmarkEnd w:id="214"/>
    </w:p>
    <w:p>
      <w:pPr>
        <w:rPr>
          <w:color w:val="auto"/>
        </w:rPr>
      </w:pPr>
      <w:r>
        <w:rPr>
          <w:rFonts w:hint="eastAsia"/>
          <w:color w:val="auto"/>
        </w:rPr>
        <w:t>给水系统设计用水量标准符合现行国家标准《建筑给水排水设计规范》（GB50015）和《民用建筑节水设计标准》（GB50555），充分利用市政管网水压，配水点静水压大于0.45MPa时采用竖向分区，各分区用水点水压不大于0.20M</w:t>
      </w:r>
      <w:r>
        <w:rPr>
          <w:color w:val="auto"/>
        </w:rPr>
        <w:t>p</w:t>
      </w:r>
      <w:r>
        <w:rPr>
          <w:rFonts w:hint="eastAsia"/>
          <w:color w:val="auto"/>
        </w:rPr>
        <w:t>a。</w:t>
      </w:r>
    </w:p>
    <w:p>
      <w:pPr>
        <w:rPr>
          <w:color w:val="auto"/>
        </w:rPr>
      </w:pPr>
      <w:r>
        <w:rPr>
          <w:rFonts w:hint="eastAsia"/>
          <w:color w:val="auto"/>
        </w:rPr>
        <w:t>热水系统用水量标准满足《民用建筑节水设计标准》（GB50555），有保证用水点处冷热水供水压力平衡的措施，用水点处冷热水供水压力差不大于0.02M</w:t>
      </w:r>
      <w:r>
        <w:rPr>
          <w:color w:val="auto"/>
        </w:rPr>
        <w:t>p</w:t>
      </w:r>
      <w:r>
        <w:rPr>
          <w:rFonts w:hint="eastAsia"/>
          <w:color w:val="auto"/>
        </w:rPr>
        <w:t>a。集中热水供应系统设有循环系统，热水管道设有保温措施。</w:t>
      </w:r>
    </w:p>
    <w:p>
      <w:pPr>
        <w:rPr>
          <w:color w:val="auto"/>
        </w:rPr>
      </w:pPr>
      <w:r>
        <w:rPr>
          <w:rFonts w:hint="eastAsia"/>
          <w:color w:val="auto"/>
        </w:rPr>
        <w:t>给水管材采用压力水头损失小，强度好、耐腐蚀、使用寿命长的新型管材，可以达到降低电耗和水量损失的效果。对动力机电设备的选择尽可能采用国家批准的机电节能产品。</w:t>
      </w:r>
    </w:p>
    <w:p>
      <w:pPr>
        <w:rPr>
          <w:color w:val="auto"/>
        </w:rPr>
      </w:pPr>
      <w:r>
        <w:rPr>
          <w:color w:val="auto"/>
        </w:rPr>
        <w:t>绿化用水利用中水，在灌溉方式上，采用节水效率高的喷灌、滴灌、渗灌等先进节水设施，提高水的有效利用率</w:t>
      </w:r>
    </w:p>
    <w:p>
      <w:pPr>
        <w:rPr>
          <w:color w:val="auto"/>
        </w:rPr>
      </w:pPr>
      <w:r>
        <w:rPr>
          <w:rFonts w:hint="eastAsia"/>
          <w:color w:val="auto"/>
        </w:rPr>
        <w:t>雨水系统宜采取入渗收集、收集回用等利用措施。</w:t>
      </w:r>
    </w:p>
    <w:p>
      <w:pPr>
        <w:rPr>
          <w:color w:val="auto"/>
        </w:rPr>
      </w:pPr>
      <w:r>
        <w:rPr>
          <w:rFonts w:hint="eastAsia"/>
          <w:color w:val="auto"/>
        </w:rPr>
        <w:t>洗脸盆等卫生器具采用陶瓷片等密封耐用、性能优良的水嘴；公共场所卫生间的洗手盆采用感应式或延时自闭冲洗阀；坐式大便器采用一次冲洗水量不大于6L设有大、小便分档的冲洗水箱；小便器、蹲式大便器采用延时自闭冲洗阀、感应式冲洗阀、脚踏冲洗阀；供水系统的管材、管件符合国家现行有关标准的规定。</w:t>
      </w:r>
    </w:p>
    <w:p>
      <w:pPr>
        <w:rPr>
          <w:color w:val="auto"/>
        </w:rPr>
      </w:pPr>
      <w:r>
        <w:rPr>
          <w:rFonts w:hint="eastAsia"/>
          <w:color w:val="auto"/>
        </w:rPr>
        <w:t>小区及单体建筑引入管上设计量水表。根据不同使用性质及计量标准分类分别设置计量水表。</w:t>
      </w:r>
    </w:p>
    <w:p>
      <w:pPr>
        <w:pStyle w:val="4"/>
        <w:rPr>
          <w:color w:val="auto"/>
        </w:rPr>
      </w:pPr>
      <w:bookmarkStart w:id="215" w:name="_Toc14567"/>
      <w:r>
        <w:rPr>
          <w:rFonts w:hint="eastAsia"/>
          <w:color w:val="auto"/>
        </w:rPr>
        <w:t>4</w:t>
      </w:r>
      <w:r>
        <w:rPr>
          <w:color w:val="auto"/>
        </w:rPr>
        <w:t>.2.4</w:t>
      </w:r>
      <w:r>
        <w:rPr>
          <w:rFonts w:hint="eastAsia"/>
          <w:color w:val="auto"/>
        </w:rPr>
        <w:t>节电措施</w:t>
      </w:r>
      <w:bookmarkEnd w:id="215"/>
    </w:p>
    <w:p>
      <w:pPr>
        <w:rPr>
          <w:color w:val="auto"/>
        </w:rPr>
      </w:pPr>
      <w:r>
        <w:rPr>
          <w:color w:val="auto"/>
        </w:rPr>
        <w:t>供配电系统</w:t>
      </w:r>
      <w:r>
        <w:rPr>
          <w:rFonts w:hint="eastAsia"/>
          <w:color w:val="auto"/>
        </w:rPr>
        <w:t>应</w:t>
      </w:r>
      <w:r>
        <w:rPr>
          <w:color w:val="auto"/>
        </w:rPr>
        <w:t>根据负荷容量，供电距离及分布，用电设备特点等因素合理布置变配电所及配电系统，变配电所应尽量靠近负荷中心，以缩短配电半径减少线路损耗。</w:t>
      </w:r>
    </w:p>
    <w:p>
      <w:pPr>
        <w:rPr>
          <w:color w:val="auto"/>
        </w:rPr>
      </w:pPr>
      <w:r>
        <w:rPr>
          <w:rFonts w:hint="eastAsia"/>
          <w:color w:val="auto"/>
        </w:rPr>
        <w:t>变压器应</w:t>
      </w:r>
      <w:r>
        <w:rPr>
          <w:color w:val="auto"/>
        </w:rPr>
        <w:t>合理选择变压器的容量和台数，使其工作于适当的负载率，实现经济运行减少由于轻载运行造成的不必要电能</w:t>
      </w:r>
      <w:r>
        <w:rPr>
          <w:rFonts w:hint="eastAsia"/>
          <w:color w:val="auto"/>
        </w:rPr>
        <w:t>损失。</w:t>
      </w:r>
    </w:p>
    <w:p>
      <w:pPr>
        <w:rPr>
          <w:color w:val="auto"/>
        </w:rPr>
      </w:pPr>
      <w:r>
        <w:rPr>
          <w:color w:val="auto"/>
        </w:rPr>
        <w:t>减少线路损耗</w:t>
      </w:r>
      <w:r>
        <w:rPr>
          <w:rFonts w:hint="eastAsia"/>
          <w:color w:val="auto"/>
        </w:rPr>
        <w:t>，</w:t>
      </w:r>
      <w:r>
        <w:rPr>
          <w:color w:val="auto"/>
        </w:rPr>
        <w:t>选用电阻率ρ较小的铜芯电缆</w:t>
      </w:r>
      <w:r>
        <w:rPr>
          <w:rFonts w:hint="eastAsia"/>
          <w:color w:val="auto"/>
        </w:rPr>
        <w:t>，</w:t>
      </w:r>
      <w:r>
        <w:rPr>
          <w:color w:val="auto"/>
        </w:rPr>
        <w:t>尽可能减少导线长度，在设计中线路应尽量走直线少走弯路。增大导线截面积，对于较长的线路，在满足载流量，热稳定，保护配合及电压降要求的前提下，在选定线截面时加大一级线截面。</w:t>
      </w:r>
    </w:p>
    <w:p>
      <w:pPr>
        <w:rPr>
          <w:color w:val="auto"/>
        </w:rPr>
      </w:pPr>
      <w:r>
        <w:rPr>
          <w:color w:val="auto"/>
        </w:rPr>
        <w:t>提高供配电系统的功率因数</w:t>
      </w:r>
      <w:r>
        <w:rPr>
          <w:rFonts w:hint="eastAsia"/>
          <w:color w:val="auto"/>
        </w:rPr>
        <w:t>，</w:t>
      </w:r>
      <w:r>
        <w:rPr>
          <w:color w:val="auto"/>
        </w:rPr>
        <w:t>减少用电设备无功损耗，提高用电设备的功率因数。采用高效、节能荧光灯具及其附件，荧光灯具采用电子镇流器，保证单灯功率因数不小于0.9</w:t>
      </w:r>
      <w:r>
        <w:rPr>
          <w:rFonts w:hint="eastAsia"/>
          <w:color w:val="auto"/>
        </w:rPr>
        <w:t>，</w:t>
      </w:r>
      <w:r>
        <w:rPr>
          <w:color w:val="auto"/>
        </w:rPr>
        <w:t xml:space="preserve">在低压柜设置补偿电容进行集中补偿，使功率因数不小于0.9。 </w:t>
      </w:r>
      <w:r>
        <w:rPr>
          <w:rFonts w:hint="eastAsia"/>
          <w:color w:val="auto"/>
        </w:rPr>
        <w:t>在三相线路中，单相负荷尽可能的平均分配以减线路负载电流，减小线路损耗。</w:t>
      </w:r>
    </w:p>
    <w:p>
      <w:pPr>
        <w:rPr>
          <w:color w:val="auto"/>
        </w:rPr>
      </w:pPr>
      <w:r>
        <w:rPr>
          <w:rFonts w:hint="eastAsia"/>
          <w:color w:val="auto"/>
        </w:rPr>
        <w:t xml:space="preserve">照明节能。充分利用自然光，在设计中电气设计人员应多与建筑专业配合，做到充分合理地利用自然光使之与室内人工照明有机地结合，从而大大节约人工照明电能。在满足照明质量的前提下，一般房间(场所)应采用高效发光的T5荧光灯及紧凑型荧光灯，室外广场等开阔空间采用高压钠灯、金属卤化物灯等高效气体放电光源。室外路灯可采用太阳能结合风能灯具；地下车库采用部分LED灯作为辅助照明和疏散诱导指示灯使用。推广使用低能耗性能优的光源用电附件，如电子镇流器、电子触发器以及电子变压器等，公共建筑场所内的荧光灯宜选用带有无功补偿的灯具，紧凑型荧光灯优先选用电子镇流器，气体放电灯宜采用电子触发器。改进灯具控制方式：根据照明使用特点可采取分区控制灯光或适当增加照明开关点。大厅等处可采用调光开关，公共场所及室外照明可采用BA控制或光电、声控，时间继电器开关。走道、楼梯等人员短暂停留的公共场所可采用节能自熄开关或BA控制。 </w:t>
      </w:r>
    </w:p>
    <w:p>
      <w:pPr>
        <w:rPr>
          <w:color w:val="auto"/>
        </w:rPr>
      </w:pPr>
      <w:r>
        <w:rPr>
          <w:rFonts w:hint="eastAsia"/>
          <w:color w:val="auto"/>
        </w:rPr>
        <w:t>不同用电类别及不同用电单位分类计量，方便节能考核及管理，提高物业管理水平。</w:t>
      </w:r>
    </w:p>
    <w:p>
      <w:pPr>
        <w:pStyle w:val="4"/>
        <w:rPr>
          <w:color w:val="auto"/>
        </w:rPr>
      </w:pPr>
      <w:bookmarkStart w:id="216" w:name="_Toc29696"/>
      <w:r>
        <w:rPr>
          <w:rFonts w:hint="eastAsia"/>
          <w:color w:val="auto"/>
        </w:rPr>
        <w:t>4</w:t>
      </w:r>
      <w:r>
        <w:rPr>
          <w:color w:val="auto"/>
        </w:rPr>
        <w:t>.2.5</w:t>
      </w:r>
      <w:r>
        <w:rPr>
          <w:rFonts w:hint="eastAsia"/>
          <w:color w:val="auto"/>
        </w:rPr>
        <w:t>暖通节能</w:t>
      </w:r>
      <w:bookmarkEnd w:id="216"/>
    </w:p>
    <w:p>
      <w:pPr>
        <w:rPr>
          <w:color w:val="auto"/>
        </w:rPr>
      </w:pPr>
      <w:r>
        <w:rPr>
          <w:rFonts w:hint="eastAsia"/>
          <w:color w:val="auto"/>
        </w:rPr>
        <w:t>合理选用空调形式和冷热源形式。根据建筑规模、用途、使用方式的不同，合理选择分体机或（和）多联机空调形式，或采用区域供冷技术等。</w:t>
      </w:r>
    </w:p>
    <w:p>
      <w:pPr>
        <w:rPr>
          <w:rFonts w:eastAsia="仿宋_GB2312"/>
          <w:color w:val="auto"/>
        </w:rPr>
      </w:pPr>
      <w:r>
        <w:rPr>
          <w:rFonts w:hint="eastAsia"/>
          <w:color w:val="auto"/>
        </w:rPr>
        <w:t>合理采用自然通风措施。机械通风采用节能风机，风机单位风量耗功率满足现行节能标准要求。大型公共建筑建议采用高效制冷机房和搭建能耗在线监控系统。</w:t>
      </w:r>
    </w:p>
    <w:p>
      <w:pPr>
        <w:pStyle w:val="3"/>
        <w:spacing w:before="156" w:after="156"/>
        <w:rPr>
          <w:color w:val="auto"/>
        </w:rPr>
      </w:pPr>
      <w:bookmarkStart w:id="217" w:name="_Toc32738"/>
      <w:r>
        <w:rPr>
          <w:rFonts w:hint="eastAsia"/>
          <w:color w:val="auto"/>
        </w:rPr>
        <w:t>4.3既有建筑节能改造措施</w:t>
      </w:r>
      <w:bookmarkEnd w:id="217"/>
    </w:p>
    <w:p>
      <w:pPr>
        <w:rPr>
          <w:color w:val="auto"/>
        </w:rPr>
      </w:pPr>
      <w:r>
        <w:rPr>
          <w:rFonts w:hint="eastAsia"/>
          <w:color w:val="auto"/>
        </w:rPr>
        <w:t>既有建筑建设年代不同，尤其是2006年以前的建筑基本未执行节能标准。根据建筑能耗调研情况，对于超过能耗限额的建筑，需要通过对建筑物的围护结构和用能设备采取一定的技术措施，或增设必要的用能设备，以达到降低建筑运行能耗、改善既有建筑的室内环境和室内人员舒适度的目的。对此，根据既有建筑的用能特点及调研情况，提出以下节能改造措施。</w:t>
      </w:r>
      <w:bookmarkStart w:id="218" w:name="_Toc278727491"/>
      <w:bookmarkStart w:id="219" w:name="_Toc278662719"/>
      <w:bookmarkStart w:id="220" w:name="_Toc278728726"/>
    </w:p>
    <w:p>
      <w:pPr>
        <w:pStyle w:val="4"/>
        <w:rPr>
          <w:color w:val="auto"/>
        </w:rPr>
      </w:pPr>
      <w:bookmarkStart w:id="221" w:name="_Toc10987"/>
      <w:r>
        <w:rPr>
          <w:rFonts w:hint="eastAsia"/>
          <w:color w:val="auto"/>
        </w:rPr>
        <w:t>4.3.1外围护结构的节能改造措施</w:t>
      </w:r>
      <w:bookmarkEnd w:id="218"/>
      <w:bookmarkEnd w:id="219"/>
      <w:bookmarkEnd w:id="220"/>
      <w:bookmarkEnd w:id="221"/>
    </w:p>
    <w:p>
      <w:pPr>
        <w:numPr>
          <w:ilvl w:val="0"/>
          <w:numId w:val="9"/>
        </w:numPr>
        <w:rPr>
          <w:color w:val="auto"/>
          <w:szCs w:val="24"/>
        </w:rPr>
      </w:pPr>
      <w:r>
        <w:rPr>
          <w:rFonts w:hint="eastAsia"/>
          <w:color w:val="auto"/>
        </w:rPr>
        <w:t>注重</w:t>
      </w:r>
      <w:r>
        <w:rPr>
          <w:color w:val="auto"/>
          <w:szCs w:val="24"/>
        </w:rPr>
        <w:t>夏季隔热</w:t>
      </w:r>
      <w:r>
        <w:rPr>
          <w:rFonts w:hint="eastAsia"/>
          <w:color w:val="auto"/>
          <w:szCs w:val="24"/>
        </w:rPr>
        <w:t>。三亚</w:t>
      </w:r>
      <w:r>
        <w:rPr>
          <w:color w:val="auto"/>
          <w:szCs w:val="24"/>
        </w:rPr>
        <w:t>由于长夏无冬、温暖潮湿，终年室内外温差小，极端气温现象发生几率比较少。</w:t>
      </w:r>
      <w:r>
        <w:rPr>
          <w:rFonts w:hint="eastAsia"/>
          <w:color w:val="auto"/>
          <w:szCs w:val="24"/>
        </w:rPr>
        <w:t>屋面改造宜采用涂刷反射隔热涂料、在防水层上面做隔热层、屋面设置遮阳设施等措施，有条件的可采用将平屋面改造成通风坡屋顶、设置种植屋面等措施。外墙节能改造宜采用反射隔热涂料和浅色饰面等技术措施，在条件允许时也可采用外墙绿化技术。外墙节能改造宜与外墙修缮工程同步进行。</w:t>
      </w:r>
    </w:p>
    <w:p>
      <w:pPr>
        <w:rPr>
          <w:color w:val="auto"/>
          <w:szCs w:val="24"/>
        </w:rPr>
      </w:pPr>
      <w:r>
        <w:rPr>
          <w:rFonts w:hint="eastAsia"/>
          <w:color w:val="auto"/>
          <w:szCs w:val="24"/>
        </w:rPr>
        <w:t>（2）注重建筑遮阳。</w:t>
      </w:r>
      <w:r>
        <w:rPr>
          <w:rFonts w:hint="eastAsia"/>
          <w:color w:val="auto"/>
        </w:rPr>
        <w:t>采取有效的遮阳措施，对减少太阳辐射，是建筑节能的有效途径。</w:t>
      </w:r>
      <w:r>
        <w:rPr>
          <w:rFonts w:hint="eastAsia"/>
          <w:color w:val="auto"/>
          <w:szCs w:val="24"/>
        </w:rPr>
        <w:t>外窗遮阳改造宜采用水平或倾斜简易固定外遮阳方式，也可采用玻璃贴膜（涂膜）、立面遮阳等形式，或结合建筑外墙修缮确定形式。屋面设置遮阳设施等措施，有条件的可设置种植屋面等措施</w:t>
      </w:r>
      <w:r>
        <w:rPr>
          <w:color w:val="auto"/>
          <w:szCs w:val="24"/>
        </w:rPr>
        <w:t>。</w:t>
      </w:r>
      <w:r>
        <w:rPr>
          <w:rFonts w:hint="eastAsia"/>
          <w:color w:val="auto"/>
          <w:szCs w:val="24"/>
        </w:rPr>
        <w:t>外墙节能改造应注重东西向遮阳，在条件允许时可加设水平遮阳设施，也采用外墙绿化技术。</w:t>
      </w:r>
    </w:p>
    <w:p>
      <w:pPr>
        <w:rPr>
          <w:color w:val="auto"/>
        </w:rPr>
      </w:pPr>
      <w:r>
        <w:rPr>
          <w:rFonts w:hint="eastAsia"/>
          <w:color w:val="auto"/>
        </w:rPr>
        <w:t>（3）强化室内通风。空调系统能耗在建筑全生命周期内所占比例最大。空调负荷主要由太阳辐射能量造成的，改善通风条件、减少空调系统运行时间是有效的节能手段。三亚全年有超过200天的室外干球温度在30℃以下，做好建筑通风改造是减少空调系统能耗，达到节能减排目标的有效措施，条件允许时应增加通风换气装置。</w:t>
      </w:r>
    </w:p>
    <w:p>
      <w:pPr>
        <w:pStyle w:val="4"/>
        <w:rPr>
          <w:color w:val="auto"/>
        </w:rPr>
      </w:pPr>
      <w:bookmarkStart w:id="222" w:name="_Toc278728727"/>
      <w:bookmarkStart w:id="223" w:name="_Toc27449"/>
      <w:bookmarkStart w:id="224" w:name="_Toc278662720"/>
      <w:bookmarkStart w:id="225" w:name="_Toc278727492"/>
      <w:r>
        <w:rPr>
          <w:rFonts w:hint="eastAsia"/>
          <w:color w:val="auto"/>
        </w:rPr>
        <w:t>4.3.2空调系统的节能改造措施</w:t>
      </w:r>
      <w:bookmarkEnd w:id="222"/>
      <w:bookmarkEnd w:id="223"/>
      <w:bookmarkEnd w:id="224"/>
      <w:bookmarkEnd w:id="225"/>
    </w:p>
    <w:p>
      <w:pPr>
        <w:rPr>
          <w:color w:val="auto"/>
        </w:rPr>
      </w:pPr>
      <w:r>
        <w:rPr>
          <w:rFonts w:hint="eastAsia"/>
          <w:color w:val="auto"/>
        </w:rPr>
        <w:t>（1）合理冷机选型。</w:t>
      </w:r>
      <w:r>
        <w:rPr>
          <w:color w:val="auto"/>
        </w:rPr>
        <w:t>小型制冷机在商场和</w:t>
      </w:r>
      <w:r>
        <w:rPr>
          <w:rFonts w:hint="eastAsia"/>
          <w:color w:val="auto"/>
        </w:rPr>
        <w:t>旅馆</w:t>
      </w:r>
      <w:r>
        <w:rPr>
          <w:color w:val="auto"/>
        </w:rPr>
        <w:t>中空调系统几乎是全年运行，不同季节的冷负荷有较大差异。由于冷机选型是按夏季最大冷负荷，在过渡季节冷机处于低负荷工况下运行，容易造成能源的浪费和冷机损耗。</w:t>
      </w:r>
    </w:p>
    <w:p>
      <w:pPr>
        <w:ind w:firstLine="592"/>
        <w:rPr>
          <w:color w:val="auto"/>
        </w:rPr>
      </w:pPr>
      <w:r>
        <w:rPr>
          <w:color w:val="auto"/>
          <w:spacing w:val="8"/>
        </w:rPr>
        <w:t>选用冷水机组时应优先考虑效率</w:t>
      </w:r>
      <w:r>
        <w:rPr>
          <w:rFonts w:hint="eastAsia"/>
          <w:color w:val="auto"/>
          <w:spacing w:val="8"/>
        </w:rPr>
        <w:t>曲线</w:t>
      </w:r>
      <w:r>
        <w:rPr>
          <w:color w:val="auto"/>
          <w:spacing w:val="8"/>
        </w:rPr>
        <w:t>比较平坦的机型。在设计选用时应考虑冷水机组负荷的调节范围。</w:t>
      </w:r>
      <w:r>
        <w:rPr>
          <w:rFonts w:hint="eastAsia"/>
          <w:color w:val="auto"/>
          <w:szCs w:val="24"/>
        </w:rPr>
        <w:t>根据冷负荷的变化情况，可合理选用大小冷水机组的组合运行，同时冷水泵可采用变频变流量运行。在经济技术比较合理的情况下，可</w:t>
      </w:r>
      <w:r>
        <w:rPr>
          <w:color w:val="auto"/>
        </w:rPr>
        <w:t>利用夜间电网多余的谷荷电力</w:t>
      </w:r>
      <w:r>
        <w:rPr>
          <w:rFonts w:hint="eastAsia"/>
          <w:color w:val="auto"/>
        </w:rPr>
        <w:t>，</w:t>
      </w:r>
      <w:r>
        <w:rPr>
          <w:color w:val="auto"/>
          <w:szCs w:val="24"/>
        </w:rPr>
        <w:t>增加蓄冷系统</w:t>
      </w:r>
      <w:r>
        <w:rPr>
          <w:rFonts w:hint="eastAsia"/>
          <w:color w:val="auto"/>
          <w:szCs w:val="24"/>
        </w:rPr>
        <w:t>。</w:t>
      </w:r>
    </w:p>
    <w:p>
      <w:pPr>
        <w:rPr>
          <w:color w:val="auto"/>
          <w:szCs w:val="24"/>
        </w:rPr>
      </w:pPr>
      <w:r>
        <w:rPr>
          <w:rFonts w:hint="eastAsia"/>
          <w:color w:val="auto"/>
        </w:rPr>
        <w:t>（2）优化冷机运行系统。</w:t>
      </w:r>
      <w:r>
        <w:rPr>
          <w:rFonts w:hint="eastAsia"/>
          <w:color w:val="auto"/>
          <w:szCs w:val="24"/>
        </w:rPr>
        <w:t>多台冷机并联的方式运行应注意各台冷机的冷冻水、冷却水分配；暂停运行的冷机水阀应关死。</w:t>
      </w:r>
    </w:p>
    <w:p>
      <w:pPr>
        <w:rPr>
          <w:color w:val="auto"/>
          <w:szCs w:val="24"/>
        </w:rPr>
      </w:pPr>
      <w:r>
        <w:rPr>
          <w:rFonts w:hint="eastAsia"/>
          <w:color w:val="auto"/>
        </w:rPr>
        <w:t>（3）采用自然冷源。可采用新风制冷，</w:t>
      </w:r>
      <w:r>
        <w:rPr>
          <w:color w:val="auto"/>
          <w:szCs w:val="24"/>
        </w:rPr>
        <w:t>设置夜间换气模式。室外气温较低的季节可开启各楼层的新风机组，以减小冷水机组的负荷，通过充分利用新风，达到降低空调系统的能耗。</w:t>
      </w:r>
    </w:p>
    <w:p>
      <w:pPr>
        <w:rPr>
          <w:color w:val="auto"/>
          <w:szCs w:val="24"/>
        </w:rPr>
      </w:pPr>
      <w:r>
        <w:rPr>
          <w:rFonts w:hint="eastAsia"/>
          <w:color w:val="auto"/>
          <w:szCs w:val="24"/>
        </w:rPr>
        <w:t>（4）</w:t>
      </w:r>
      <w:r>
        <w:rPr>
          <w:rFonts w:hint="eastAsia"/>
          <w:color w:val="auto"/>
        </w:rPr>
        <w:t>水泵变频改造。</w:t>
      </w:r>
      <w:r>
        <w:rPr>
          <w:rFonts w:hint="eastAsia"/>
          <w:color w:val="auto"/>
          <w:szCs w:val="24"/>
        </w:rPr>
        <w:t>空调系统全年运行商场和旅馆，各个季节运行工况不一，水泵运行工况总处于变化中，若运行不是在高效工作点容易出现大流量小温差等问题。可以选择对水泵进行更换或为了使得水泵总能处于其高效工作点上，对水泵进行变频改造。也可结合三亚区域供冷情况，采用区域供冷。</w:t>
      </w:r>
    </w:p>
    <w:p>
      <w:pPr>
        <w:pStyle w:val="4"/>
        <w:rPr>
          <w:color w:val="auto"/>
        </w:rPr>
      </w:pPr>
      <w:bookmarkStart w:id="226" w:name="_Toc7614"/>
      <w:bookmarkStart w:id="227" w:name="_Toc278727493"/>
      <w:bookmarkStart w:id="228" w:name="_Toc278662721"/>
      <w:bookmarkStart w:id="229" w:name="_Toc278728728"/>
      <w:r>
        <w:rPr>
          <w:rFonts w:hint="eastAsia"/>
          <w:color w:val="auto"/>
        </w:rPr>
        <w:t>4.3.3照明系统的节能改造措施</w:t>
      </w:r>
      <w:bookmarkEnd w:id="226"/>
    </w:p>
    <w:p>
      <w:pPr>
        <w:rPr>
          <w:color w:val="auto"/>
          <w:szCs w:val="24"/>
        </w:rPr>
      </w:pPr>
      <w:r>
        <w:rPr>
          <w:rFonts w:hint="eastAsia"/>
          <w:color w:val="auto"/>
          <w:szCs w:val="24"/>
        </w:rPr>
        <w:t>合理采用照明方式，使用节能灯具。在办公和居住区域应尽量采用节能灯。合理采用照明方式，大进深办公区增加日光灯开关，提倡办公人员使用台灯，保持灯具清洁等。</w:t>
      </w:r>
    </w:p>
    <w:p>
      <w:pPr>
        <w:rPr>
          <w:color w:val="auto"/>
          <w:szCs w:val="24"/>
        </w:rPr>
      </w:pPr>
      <w:r>
        <w:rPr>
          <w:rFonts w:hint="eastAsia"/>
          <w:color w:val="auto"/>
          <w:szCs w:val="24"/>
        </w:rPr>
        <w:t>重视自然光的使用。合理安排照明时间和照明区域，尽量使用自然光。在充分利用自然光的同时要注意太阳直射和辐射引起的室内温度增大，做好遮阳工作。</w:t>
      </w:r>
      <w:bookmarkStart w:id="230" w:name="_Toc19868"/>
    </w:p>
    <w:p>
      <w:pPr>
        <w:rPr>
          <w:color w:val="auto"/>
          <w:szCs w:val="24"/>
        </w:rPr>
      </w:pPr>
      <w:r>
        <w:rPr>
          <w:rFonts w:hint="eastAsia"/>
          <w:color w:val="auto"/>
          <w:szCs w:val="24"/>
        </w:rPr>
        <w:t>推广改造绿色照明</w:t>
      </w:r>
      <w:bookmarkEnd w:id="230"/>
      <w:r>
        <w:rPr>
          <w:rFonts w:hint="eastAsia"/>
          <w:color w:val="auto"/>
          <w:szCs w:val="24"/>
        </w:rPr>
        <w:t>。大力推广新一代高效照明。新建办公建筑、学校、医院、旅馆、商场等大型公共建筑应采用国家以及省市节能产品目录产品、国家示范推广照明产品以及先进照明系统控制技术。</w:t>
      </w:r>
    </w:p>
    <w:p>
      <w:pPr>
        <w:pStyle w:val="4"/>
        <w:rPr>
          <w:color w:val="auto"/>
        </w:rPr>
      </w:pPr>
      <w:bookmarkStart w:id="231" w:name="_Toc17611"/>
      <w:r>
        <w:rPr>
          <w:rFonts w:hint="eastAsia"/>
          <w:color w:val="auto"/>
        </w:rPr>
        <w:t>4.3.4动力系统的节能改造措施</w:t>
      </w:r>
      <w:bookmarkEnd w:id="231"/>
    </w:p>
    <w:p>
      <w:pPr>
        <w:ind w:firstLine="562"/>
        <w:rPr>
          <w:rFonts w:ascii="宋体" w:hAnsi="宋体" w:cs="宋体"/>
          <w:b/>
          <w:bCs/>
          <w:color w:val="auto"/>
          <w:kern w:val="0"/>
          <w:szCs w:val="24"/>
        </w:rPr>
      </w:pPr>
      <w:r>
        <w:rPr>
          <w:rFonts w:hint="eastAsia" w:ascii="宋体" w:hAnsi="宋体" w:cs="宋体"/>
          <w:b/>
          <w:bCs/>
          <w:color w:val="auto"/>
          <w:kern w:val="0"/>
          <w:szCs w:val="24"/>
        </w:rPr>
        <w:t>（1）电梯</w:t>
      </w:r>
    </w:p>
    <w:p>
      <w:pPr>
        <w:rPr>
          <w:rFonts w:ascii="宋体" w:hAnsi="宋体"/>
          <w:color w:val="auto"/>
          <w:szCs w:val="24"/>
        </w:rPr>
      </w:pPr>
      <w:r>
        <w:rPr>
          <w:rFonts w:ascii="宋体" w:hAnsi="宋体" w:cs="宋体"/>
          <w:color w:val="auto"/>
          <w:kern w:val="0"/>
          <w:szCs w:val="24"/>
        </w:rPr>
        <w:t>原交流调速的老旧电梯改造为变频</w:t>
      </w:r>
      <w:r>
        <w:rPr>
          <w:rFonts w:hAnsi="宋体"/>
          <w:color w:val="auto"/>
          <w:kern w:val="0"/>
          <w:szCs w:val="24"/>
        </w:rPr>
        <w:t>调压调速（</w:t>
      </w:r>
      <w:r>
        <w:rPr>
          <w:color w:val="auto"/>
          <w:kern w:val="0"/>
          <w:szCs w:val="24"/>
        </w:rPr>
        <w:t>VVVF</w:t>
      </w:r>
      <w:r>
        <w:rPr>
          <w:rFonts w:hAnsi="宋体"/>
          <w:color w:val="auto"/>
          <w:kern w:val="0"/>
          <w:szCs w:val="24"/>
        </w:rPr>
        <w:t>）电梯，达到节能和电梯升级的双重效果。</w:t>
      </w:r>
      <w:r>
        <w:rPr>
          <w:rFonts w:hint="eastAsia" w:hAnsi="宋体"/>
          <w:color w:val="auto"/>
          <w:kern w:val="0"/>
          <w:szCs w:val="24"/>
        </w:rPr>
        <w:t>通过电梯改造</w:t>
      </w:r>
      <w:r>
        <w:rPr>
          <w:rFonts w:hAnsi="宋体"/>
          <w:color w:val="auto"/>
          <w:kern w:val="0"/>
          <w:szCs w:val="24"/>
        </w:rPr>
        <w:t>，减少能量损耗，提高电梯的舒适感和减少电梯的故障率</w:t>
      </w:r>
      <w:r>
        <w:rPr>
          <w:rFonts w:hint="eastAsia" w:hAnsi="宋体"/>
          <w:color w:val="auto"/>
          <w:kern w:val="0"/>
          <w:szCs w:val="24"/>
        </w:rPr>
        <w:t>，还可</w:t>
      </w:r>
      <w:r>
        <w:rPr>
          <w:rFonts w:hAnsi="宋体"/>
          <w:color w:val="auto"/>
          <w:kern w:val="0"/>
          <w:szCs w:val="24"/>
        </w:rPr>
        <w:t>减少因交流调速电梯众多的接触器、继电器频繁的吸合而造成的噪声污染</w:t>
      </w:r>
      <w:r>
        <w:rPr>
          <w:rFonts w:ascii="宋体" w:hAnsi="宋体" w:cs="宋体"/>
          <w:color w:val="auto"/>
          <w:kern w:val="0"/>
          <w:szCs w:val="24"/>
        </w:rPr>
        <w:t>。</w:t>
      </w:r>
    </w:p>
    <w:p>
      <w:pPr>
        <w:ind w:firstLine="562"/>
        <w:rPr>
          <w:rFonts w:ascii="宋体" w:hAnsi="宋体" w:cs="宋体"/>
          <w:b/>
          <w:bCs/>
          <w:color w:val="auto"/>
          <w:kern w:val="0"/>
          <w:szCs w:val="24"/>
        </w:rPr>
      </w:pPr>
      <w:r>
        <w:rPr>
          <w:rFonts w:hint="eastAsia" w:ascii="宋体" w:hAnsi="宋体" w:cs="宋体"/>
          <w:b/>
          <w:bCs/>
          <w:color w:val="auto"/>
          <w:kern w:val="0"/>
          <w:szCs w:val="24"/>
        </w:rPr>
        <w:t>（2）生活水泵</w:t>
      </w:r>
    </w:p>
    <w:p>
      <w:pPr>
        <w:rPr>
          <w:color w:val="auto"/>
        </w:rPr>
      </w:pPr>
      <w:r>
        <w:rPr>
          <w:rFonts w:hint="eastAsia"/>
          <w:color w:val="auto"/>
        </w:rPr>
        <w:t>生活水泵主要包括给排水泵、污水泵，其功能就是为日常生活提供水和及时排除污水。不同功能的建筑对水量的要求都有一个规律性变化，但是在不同时段给排水量有较大的差异，如在客流高峰期或上班期间，用水量相对较大，但是其持续时间较短，在深夜用水量会随之减少。因此可以对给排水泵进行变频改造，如设置若干台的定频和若干台变频搭配使用，通常情况下只开定频水泵即可满足日常给排水量，在客流高峰期或上班期间可以增开变频水泵，以满足用水负荷变化的需求。市政供水部门允许的情况下，采用无负压供水系统可降低小区生活水泵的能耗，达到更好的节能效果。</w:t>
      </w:r>
    </w:p>
    <w:p>
      <w:pPr>
        <w:pStyle w:val="4"/>
        <w:rPr>
          <w:color w:val="auto"/>
        </w:rPr>
      </w:pPr>
      <w:bookmarkStart w:id="232" w:name="_Toc2307"/>
      <w:r>
        <w:rPr>
          <w:rFonts w:hint="eastAsia"/>
          <w:color w:val="auto"/>
        </w:rPr>
        <w:t>4.3.5给排水系统的节能改造措施</w:t>
      </w:r>
      <w:bookmarkEnd w:id="232"/>
    </w:p>
    <w:p>
      <w:pPr>
        <w:rPr>
          <w:color w:val="auto"/>
        </w:rPr>
      </w:pPr>
      <w:r>
        <w:rPr>
          <w:rFonts w:hint="eastAsia"/>
          <w:color w:val="auto"/>
        </w:rPr>
        <w:t>给水系统应采用符合国家卫生标准的管材、管件及阀门，其公称压力不应小于实际工作压力。生活给水系统改造前，应会同相关供水单位明确供水方案（含水量、水压和供水方式、管道材质、设备配置、节能措施、智能化控制等）和计量方式，满足“一户一表、水表出户、集中安装、生活和消防供水系统分离”的要求。水表优先采用智能远传水表，达到精确计量、方便管理的目的。</w:t>
      </w:r>
    </w:p>
    <w:p>
      <w:pPr>
        <w:pStyle w:val="4"/>
        <w:rPr>
          <w:color w:val="auto"/>
        </w:rPr>
      </w:pPr>
      <w:bookmarkStart w:id="233" w:name="_Toc28852"/>
      <w:r>
        <w:rPr>
          <w:rFonts w:hint="eastAsia"/>
          <w:color w:val="auto"/>
        </w:rPr>
        <w:t>4.3.6绿色能源的利用</w:t>
      </w:r>
      <w:bookmarkEnd w:id="227"/>
      <w:bookmarkEnd w:id="228"/>
      <w:bookmarkEnd w:id="229"/>
      <w:bookmarkEnd w:id="233"/>
    </w:p>
    <w:p>
      <w:pPr>
        <w:rPr>
          <w:color w:val="auto"/>
          <w:szCs w:val="24"/>
        </w:rPr>
      </w:pPr>
      <w:r>
        <w:rPr>
          <w:rFonts w:hint="eastAsia"/>
          <w:color w:val="auto"/>
          <w:szCs w:val="24"/>
        </w:rPr>
        <w:t>三亚主要的可再生能源包括太阳能、风能和水力资源。其中太阳能资源最为丰富，</w:t>
      </w:r>
      <w:r>
        <w:rPr>
          <w:rFonts w:hint="eastAsia"/>
          <w:color w:val="auto"/>
        </w:rPr>
        <w:t>应大力推广太阳能一体化建筑。</w:t>
      </w:r>
    </w:p>
    <w:p>
      <w:pPr>
        <w:rPr>
          <w:color w:val="auto"/>
        </w:rPr>
      </w:pPr>
      <w:r>
        <w:rPr>
          <w:rFonts w:hint="eastAsia"/>
          <w:color w:val="auto"/>
          <w:szCs w:val="24"/>
        </w:rPr>
        <w:t>在太阳能发电方面，可</w:t>
      </w:r>
      <w:r>
        <w:rPr>
          <w:color w:val="auto"/>
          <w:szCs w:val="24"/>
        </w:rPr>
        <w:t>利用现有建筑屋顶面积用于安装太阳能屋顶发电系统</w:t>
      </w:r>
      <w:r>
        <w:rPr>
          <w:rFonts w:hint="eastAsia"/>
          <w:color w:val="auto"/>
          <w:szCs w:val="24"/>
        </w:rPr>
        <w:t>。</w:t>
      </w:r>
      <w:r>
        <w:rPr>
          <w:rFonts w:hint="eastAsia"/>
          <w:color w:val="auto"/>
        </w:rPr>
        <w:t>在太阳能产热方面，目前太阳能热水器在建筑上的应用技术成熟，效益明显，是洁净的绿色能源，</w:t>
      </w:r>
      <w:r>
        <w:rPr>
          <w:color w:val="auto"/>
        </w:rPr>
        <w:t>利用太阳能为建筑物提供生活热水和夏季空调，同时可以结合光伏电池技术为建筑物供电。</w:t>
      </w:r>
    </w:p>
    <w:p>
      <w:pPr>
        <w:pStyle w:val="3"/>
        <w:spacing w:before="156" w:after="156"/>
        <w:rPr>
          <w:color w:val="auto"/>
        </w:rPr>
      </w:pPr>
      <w:bookmarkStart w:id="234" w:name="_Toc15176"/>
      <w:r>
        <w:rPr>
          <w:rFonts w:hint="eastAsia"/>
          <w:color w:val="auto"/>
        </w:rPr>
        <w:t>4</w:t>
      </w:r>
      <w:r>
        <w:rPr>
          <w:color w:val="auto"/>
        </w:rPr>
        <w:t>.4</w:t>
      </w:r>
      <w:r>
        <w:rPr>
          <w:rFonts w:hint="eastAsia"/>
          <w:color w:val="auto"/>
        </w:rPr>
        <w:t>绿建措施</w:t>
      </w:r>
      <w:bookmarkEnd w:id="234"/>
    </w:p>
    <w:p>
      <w:pPr>
        <w:rPr>
          <w:color w:val="auto"/>
        </w:rPr>
      </w:pPr>
      <w:r>
        <w:rPr>
          <w:rFonts w:hint="eastAsia"/>
          <w:color w:val="auto"/>
        </w:rPr>
        <w:t>根据《海南省绿色建筑设计说明专篇（2019版）》，符合规定标准的</w:t>
      </w:r>
      <w:r>
        <w:rPr>
          <w:color w:val="auto"/>
        </w:rPr>
        <w:t>新建民用建筑</w:t>
      </w:r>
      <w:r>
        <w:rPr>
          <w:rFonts w:hint="eastAsia"/>
          <w:color w:val="auto"/>
        </w:rPr>
        <w:t>应达到绿色建筑基本级</w:t>
      </w:r>
      <w:r>
        <w:rPr>
          <w:color w:val="auto"/>
        </w:rPr>
        <w:t>标准</w:t>
      </w:r>
      <w:r>
        <w:rPr>
          <w:rFonts w:hint="eastAsia"/>
          <w:color w:val="auto"/>
        </w:rPr>
        <w:t>，应至少满足以下绿建措施要求。</w:t>
      </w:r>
    </w:p>
    <w:p>
      <w:pPr>
        <w:pStyle w:val="4"/>
        <w:rPr>
          <w:color w:val="auto"/>
        </w:rPr>
      </w:pPr>
      <w:bookmarkStart w:id="235" w:name="_Toc14980"/>
      <w:r>
        <w:rPr>
          <w:rFonts w:hint="eastAsia"/>
          <w:color w:val="auto"/>
        </w:rPr>
        <w:t>4</w:t>
      </w:r>
      <w:r>
        <w:rPr>
          <w:color w:val="auto"/>
        </w:rPr>
        <w:t>.4.1</w:t>
      </w:r>
      <w:r>
        <w:rPr>
          <w:rFonts w:hint="eastAsia"/>
          <w:color w:val="auto"/>
        </w:rPr>
        <w:t>建筑专业</w:t>
      </w:r>
      <w:bookmarkEnd w:id="235"/>
    </w:p>
    <w:p>
      <w:pPr>
        <w:rPr>
          <w:color w:val="auto"/>
        </w:rPr>
      </w:pPr>
      <w:r>
        <w:rPr>
          <w:rFonts w:hint="eastAsia"/>
          <w:color w:val="auto"/>
        </w:rPr>
        <w:t>1、场地应避开滑坡、泥石流等地质危险地段，易发生洪涝 地区应有可靠的防洪涝基础设施；场地应无危险化学品、易燃易 爆危险源的威胁，应无电磁辐射、含氡土壤的危害。</w:t>
      </w:r>
    </w:p>
    <w:p>
      <w:pPr>
        <w:rPr>
          <w:color w:val="auto"/>
        </w:rPr>
      </w:pPr>
      <w:r>
        <w:rPr>
          <w:rFonts w:hint="eastAsia"/>
          <w:color w:val="auto"/>
        </w:rPr>
        <w:t>2、建筑结构应满足承载力和建筑使用功能要求。建筑外墙、屋面、门窗、幕墙及外保温等围护结构应满足安全、耐久和防护的要求。</w:t>
      </w:r>
    </w:p>
    <w:p>
      <w:pPr>
        <w:rPr>
          <w:color w:val="auto"/>
        </w:rPr>
      </w:pPr>
      <w:r>
        <w:rPr>
          <w:color w:val="auto"/>
        </w:rPr>
        <w:t>3</w:t>
      </w:r>
      <w:r>
        <w:rPr>
          <w:rFonts w:hint="eastAsia"/>
          <w:color w:val="auto"/>
        </w:rPr>
        <w:t>、外遮阳、太阳能设施、空调室外机位、外墙花池等外部设施应与建筑主体结构统一设计、施工，并应具备安装、检修与维护条件。</w:t>
      </w:r>
    </w:p>
    <w:p>
      <w:pPr>
        <w:rPr>
          <w:color w:val="auto"/>
        </w:rPr>
      </w:pPr>
      <w:r>
        <w:rPr>
          <w:color w:val="auto"/>
        </w:rPr>
        <w:t>4</w:t>
      </w:r>
      <w:r>
        <w:rPr>
          <w:rFonts w:hint="eastAsia"/>
          <w:color w:val="auto"/>
        </w:rPr>
        <w:t>、卫生间、浴室的地面应设置防水层，墙面、顶棚应设置防潮层。</w:t>
      </w:r>
    </w:p>
    <w:p>
      <w:pPr>
        <w:rPr>
          <w:color w:val="auto"/>
        </w:rPr>
      </w:pPr>
      <w:r>
        <w:rPr>
          <w:color w:val="auto"/>
        </w:rPr>
        <w:t>5</w:t>
      </w:r>
      <w:r>
        <w:rPr>
          <w:rFonts w:hint="eastAsia"/>
          <w:color w:val="auto"/>
        </w:rPr>
        <w:t>、走廊、疏散通道等通行空间应满足紧急疏散、应急救护等要求，且应保持畅通。</w:t>
      </w:r>
    </w:p>
    <w:p>
      <w:pPr>
        <w:rPr>
          <w:color w:val="auto"/>
        </w:rPr>
      </w:pPr>
      <w:r>
        <w:rPr>
          <w:color w:val="auto"/>
        </w:rPr>
        <w:t>6</w:t>
      </w:r>
      <w:r>
        <w:rPr>
          <w:rFonts w:hint="eastAsia"/>
          <w:color w:val="auto"/>
        </w:rPr>
        <w:t>、应具有安全防护的警示和引导标识系统。</w:t>
      </w:r>
    </w:p>
    <w:p>
      <w:pPr>
        <w:rPr>
          <w:color w:val="auto"/>
        </w:rPr>
      </w:pPr>
      <w:r>
        <w:rPr>
          <w:color w:val="auto"/>
        </w:rPr>
        <w:t>7</w:t>
      </w:r>
      <w:r>
        <w:rPr>
          <w:rFonts w:hint="eastAsia"/>
          <w:color w:val="auto"/>
        </w:rPr>
        <w:t>、室内空气中的氨、甲醛、苯、总挥发性有机物、氡等污染物浓度应符合现行国家标准《室内空气质量标准》GB/T 18883的有关规定。建筑室内和建筑主出入口处应禁止吸烟，并应在醒目位置设置禁烟标志。</w:t>
      </w:r>
    </w:p>
    <w:p>
      <w:pPr>
        <w:rPr>
          <w:color w:val="auto"/>
        </w:rPr>
      </w:pPr>
      <w:r>
        <w:rPr>
          <w:color w:val="auto"/>
        </w:rPr>
        <w:t>8</w:t>
      </w:r>
      <w:r>
        <w:rPr>
          <w:rFonts w:hint="eastAsia"/>
          <w:color w:val="auto"/>
        </w:rPr>
        <w:t>、主要功能房间的室内噪声级和隔声性能应符合下列规定：</w:t>
      </w:r>
    </w:p>
    <w:p>
      <w:pPr>
        <w:rPr>
          <w:color w:val="auto"/>
        </w:rPr>
      </w:pPr>
      <w:r>
        <w:rPr>
          <w:rFonts w:hint="eastAsia"/>
          <w:color w:val="auto"/>
        </w:rPr>
        <w:t>（1）室内噪声级应满足现行国家标准《民用建筑隔声设计规范》GB 50118中的低限要求。</w:t>
      </w:r>
    </w:p>
    <w:p>
      <w:pPr>
        <w:rPr>
          <w:color w:val="auto"/>
        </w:rPr>
      </w:pPr>
      <w:r>
        <w:rPr>
          <w:rFonts w:hint="eastAsia"/>
          <w:color w:val="auto"/>
        </w:rPr>
        <w:t>（2）外墙、隔墙、楼板和门窗的隔声性能应满足现行国家标准《民用建筑隔声设计规范》GB 50118中的低限要求。</w:t>
      </w:r>
    </w:p>
    <w:p>
      <w:pPr>
        <w:rPr>
          <w:color w:val="auto"/>
        </w:rPr>
      </w:pPr>
      <w:r>
        <w:rPr>
          <w:rFonts w:hint="eastAsia"/>
          <w:color w:val="auto"/>
        </w:rPr>
        <w:t>9、围护结构热工性能应符合下列规定：屋顶和外墙隔热性能应满足现行国家标准《民用建筑热工设计规范》GB 50176的要求。</w:t>
      </w:r>
    </w:p>
    <w:p>
      <w:pPr>
        <w:rPr>
          <w:color w:val="auto"/>
        </w:rPr>
      </w:pPr>
      <w:r>
        <w:rPr>
          <w:rFonts w:hint="eastAsia"/>
          <w:color w:val="auto"/>
        </w:rPr>
        <w:t>1</w:t>
      </w:r>
      <w:r>
        <w:rPr>
          <w:color w:val="auto"/>
        </w:rPr>
        <w:t>0</w:t>
      </w:r>
      <w:r>
        <w:rPr>
          <w:rFonts w:hint="eastAsia"/>
          <w:color w:val="auto"/>
        </w:rPr>
        <w:t>、建筑、室外场地、公共绿地、城市道路相互之间应设置连贯的无障碍步行系统。</w:t>
      </w:r>
    </w:p>
    <w:p>
      <w:pPr>
        <w:rPr>
          <w:color w:val="auto"/>
        </w:rPr>
      </w:pPr>
      <w:r>
        <w:rPr>
          <w:rFonts w:hint="eastAsia"/>
          <w:color w:val="auto"/>
        </w:rPr>
        <w:t>1</w:t>
      </w:r>
      <w:r>
        <w:rPr>
          <w:color w:val="auto"/>
        </w:rPr>
        <w:t>1</w:t>
      </w:r>
      <w:r>
        <w:rPr>
          <w:rFonts w:hint="eastAsia"/>
          <w:color w:val="auto"/>
        </w:rPr>
        <w:t>、场地人行岀入口500m内应设有公共交通站点或配备联系公共交通站点的专用接驳车。</w:t>
      </w:r>
    </w:p>
    <w:p>
      <w:pPr>
        <w:rPr>
          <w:color w:val="auto"/>
        </w:rPr>
      </w:pPr>
      <w:r>
        <w:rPr>
          <w:rFonts w:hint="eastAsia"/>
          <w:color w:val="auto"/>
        </w:rPr>
        <w:t>1</w:t>
      </w:r>
      <w:r>
        <w:rPr>
          <w:color w:val="auto"/>
        </w:rPr>
        <w:t>3</w:t>
      </w:r>
      <w:r>
        <w:rPr>
          <w:rFonts w:hint="eastAsia"/>
          <w:color w:val="auto"/>
        </w:rPr>
        <w:t>、停车场应具有电动汽车充电设施或具备充电设施的安装条件，并应合理设置电动汽车和无障碍汽车停车位。</w:t>
      </w:r>
    </w:p>
    <w:p>
      <w:pPr>
        <w:rPr>
          <w:color w:val="auto"/>
        </w:rPr>
      </w:pPr>
      <w:r>
        <w:rPr>
          <w:rFonts w:hint="eastAsia"/>
          <w:color w:val="auto"/>
        </w:rPr>
        <w:t>1</w:t>
      </w:r>
      <w:r>
        <w:rPr>
          <w:color w:val="auto"/>
        </w:rPr>
        <w:t>4</w:t>
      </w:r>
      <w:r>
        <w:rPr>
          <w:rFonts w:hint="eastAsia"/>
          <w:color w:val="auto"/>
        </w:rPr>
        <w:t>、自行车停车场所应位置合理、方便岀入。</w:t>
      </w:r>
    </w:p>
    <w:p>
      <w:pPr>
        <w:rPr>
          <w:color w:val="auto"/>
        </w:rPr>
      </w:pPr>
      <w:r>
        <w:rPr>
          <w:rFonts w:hint="eastAsia"/>
          <w:color w:val="auto"/>
        </w:rPr>
        <w:t>1</w:t>
      </w:r>
      <w:r>
        <w:rPr>
          <w:color w:val="auto"/>
        </w:rPr>
        <w:t>5</w:t>
      </w:r>
      <w:r>
        <w:rPr>
          <w:rFonts w:hint="eastAsia"/>
          <w:color w:val="auto"/>
        </w:rPr>
        <w:t>、应结合场地自然条件和建筑功能需求，对建筑的体形、平面布局、空间尺度、围护结构等进行节能设计，且应符合国家 有关节能设计的要求。</w:t>
      </w:r>
    </w:p>
    <w:p>
      <w:pPr>
        <w:rPr>
          <w:color w:val="auto"/>
        </w:rPr>
      </w:pPr>
      <w:r>
        <w:rPr>
          <w:rFonts w:hint="eastAsia"/>
          <w:color w:val="auto"/>
        </w:rPr>
        <w:t>1</w:t>
      </w:r>
      <w:r>
        <w:rPr>
          <w:color w:val="auto"/>
        </w:rPr>
        <w:t>6</w:t>
      </w:r>
      <w:r>
        <w:rPr>
          <w:rFonts w:hint="eastAsia"/>
          <w:color w:val="auto"/>
        </w:rPr>
        <w:t>、建筑造型要素应简约，应无大量装饰性构件，并应符合下列规定：</w:t>
      </w:r>
    </w:p>
    <w:p>
      <w:pPr>
        <w:rPr>
          <w:color w:val="auto"/>
        </w:rPr>
      </w:pPr>
      <w:r>
        <w:rPr>
          <w:rFonts w:hint="eastAsia"/>
          <w:color w:val="auto"/>
        </w:rPr>
        <w:t>（1）住宅建筑的装饰性构件造价占建筑总造价的比例不应大于2%。</w:t>
      </w:r>
    </w:p>
    <w:p>
      <w:pPr>
        <w:rPr>
          <w:color w:val="auto"/>
        </w:rPr>
      </w:pPr>
      <w:r>
        <w:rPr>
          <w:rFonts w:hint="eastAsia"/>
          <w:color w:val="auto"/>
        </w:rPr>
        <w:t>（2）公共建筑的装饰性构件造价占建筑总造价的比例不应大于1%。</w:t>
      </w:r>
    </w:p>
    <w:p>
      <w:pPr>
        <w:rPr>
          <w:color w:val="auto"/>
        </w:rPr>
      </w:pPr>
      <w:r>
        <w:rPr>
          <w:rFonts w:hint="eastAsia"/>
          <w:color w:val="auto"/>
        </w:rPr>
        <w:t>1</w:t>
      </w:r>
      <w:r>
        <w:rPr>
          <w:color w:val="auto"/>
        </w:rPr>
        <w:t>7</w:t>
      </w:r>
      <w:r>
        <w:rPr>
          <w:rFonts w:hint="eastAsia"/>
          <w:color w:val="auto"/>
        </w:rPr>
        <w:t>、建筑规划布局应满足日照标准，且不得降低周边建筑的日照标准。</w:t>
      </w:r>
    </w:p>
    <w:p>
      <w:pPr>
        <w:rPr>
          <w:color w:val="auto"/>
        </w:rPr>
      </w:pPr>
      <w:r>
        <w:rPr>
          <w:rFonts w:hint="eastAsia"/>
          <w:color w:val="auto"/>
        </w:rPr>
        <w:t>1</w:t>
      </w:r>
      <w:r>
        <w:rPr>
          <w:color w:val="auto"/>
        </w:rPr>
        <w:t>8</w:t>
      </w:r>
      <w:r>
        <w:rPr>
          <w:rFonts w:hint="eastAsia"/>
          <w:color w:val="auto"/>
        </w:rPr>
        <w:t>、室外热环境应满足国家现行有关标准的要求。</w:t>
      </w:r>
    </w:p>
    <w:p>
      <w:pPr>
        <w:rPr>
          <w:color w:val="auto"/>
        </w:rPr>
      </w:pPr>
      <w:r>
        <w:rPr>
          <w:rFonts w:hint="eastAsia"/>
          <w:color w:val="auto"/>
        </w:rPr>
        <w:t>1</w:t>
      </w:r>
      <w:r>
        <w:rPr>
          <w:color w:val="auto"/>
        </w:rPr>
        <w:t>9</w:t>
      </w:r>
      <w:r>
        <w:rPr>
          <w:rFonts w:hint="eastAsia"/>
          <w:color w:val="auto"/>
        </w:rPr>
        <w:t>、配建的绿地应符合所在地城乡规划的要求，应合理选择绿化方式，植物种植应适应当地气候和土壤，且应无毒害、易维护，种植区域覆土深度和排水能力应满足植物生长需求，并应采用复层绿化方式。</w:t>
      </w:r>
    </w:p>
    <w:p>
      <w:pPr>
        <w:rPr>
          <w:color w:val="auto"/>
        </w:rPr>
      </w:pPr>
      <w:r>
        <w:rPr>
          <w:rFonts w:hint="eastAsia"/>
          <w:color w:val="auto"/>
        </w:rPr>
        <w:t>2</w:t>
      </w:r>
      <w:r>
        <w:rPr>
          <w:color w:val="auto"/>
        </w:rPr>
        <w:t>0</w:t>
      </w:r>
      <w:r>
        <w:rPr>
          <w:rFonts w:hint="eastAsia"/>
          <w:color w:val="auto"/>
        </w:rPr>
        <w:t>、建筑内外均应设置便于识别和使用的标识系统。</w:t>
      </w:r>
    </w:p>
    <w:p>
      <w:pPr>
        <w:rPr>
          <w:color w:val="auto"/>
        </w:rPr>
      </w:pPr>
      <w:r>
        <w:rPr>
          <w:rFonts w:hint="eastAsia"/>
          <w:color w:val="auto"/>
        </w:rPr>
        <w:t>2</w:t>
      </w:r>
      <w:r>
        <w:rPr>
          <w:color w:val="auto"/>
        </w:rPr>
        <w:t>1</w:t>
      </w:r>
      <w:r>
        <w:rPr>
          <w:rFonts w:hint="eastAsia"/>
          <w:color w:val="auto"/>
        </w:rPr>
        <w:t>、生活垃圾应分类收集，垃圾容器和收集点的设置应合理并应与周围景观协调。</w:t>
      </w:r>
    </w:p>
    <w:p>
      <w:pPr>
        <w:pStyle w:val="4"/>
        <w:rPr>
          <w:color w:val="auto"/>
        </w:rPr>
      </w:pPr>
      <w:bookmarkStart w:id="236" w:name="_Toc13339"/>
      <w:r>
        <w:rPr>
          <w:rFonts w:hint="eastAsia"/>
          <w:color w:val="auto"/>
        </w:rPr>
        <w:t>4</w:t>
      </w:r>
      <w:r>
        <w:rPr>
          <w:color w:val="auto"/>
        </w:rPr>
        <w:t>.4.2</w:t>
      </w:r>
      <w:r>
        <w:rPr>
          <w:rFonts w:hint="eastAsia"/>
          <w:color w:val="auto"/>
        </w:rPr>
        <w:t>结构专业</w:t>
      </w:r>
      <w:bookmarkEnd w:id="236"/>
    </w:p>
    <w:p>
      <w:pPr>
        <w:rPr>
          <w:color w:val="auto"/>
        </w:rPr>
      </w:pPr>
      <w:r>
        <w:rPr>
          <w:color w:val="auto"/>
        </w:rPr>
        <w:t>1</w:t>
      </w:r>
      <w:r>
        <w:rPr>
          <w:rFonts w:hint="eastAsia"/>
          <w:color w:val="auto"/>
        </w:rPr>
        <w:t>、建筑结构应满足承载力和建筑使用功能要求。建筑外墙、 屋面、门窗、幕墙及外保温等围护结构应满足安全、耐久和防护的要求。</w:t>
      </w:r>
    </w:p>
    <w:p>
      <w:pPr>
        <w:rPr>
          <w:color w:val="auto"/>
        </w:rPr>
      </w:pPr>
      <w:r>
        <w:rPr>
          <w:color w:val="auto"/>
        </w:rPr>
        <w:t>2</w:t>
      </w:r>
      <w:r>
        <w:rPr>
          <w:rFonts w:hint="eastAsia"/>
          <w:color w:val="auto"/>
        </w:rPr>
        <w:t>、外遮阳、太阳能设施、空调室外机位、外墙花池等外部设施应与建筑主体结构统一设计、施工，并应具备安装、检修与维护条件。</w:t>
      </w:r>
    </w:p>
    <w:p>
      <w:pPr>
        <w:rPr>
          <w:color w:val="auto"/>
        </w:rPr>
      </w:pPr>
      <w:r>
        <w:rPr>
          <w:color w:val="auto"/>
        </w:rPr>
        <w:t>3</w:t>
      </w:r>
      <w:r>
        <w:rPr>
          <w:rFonts w:hint="eastAsia"/>
          <w:color w:val="auto"/>
        </w:rPr>
        <w:t>、建筑内部的非结构构件、设备及附属设施等应连接牢固 并能适应主体结构变形。</w:t>
      </w:r>
    </w:p>
    <w:p>
      <w:pPr>
        <w:rPr>
          <w:color w:val="auto"/>
        </w:rPr>
      </w:pPr>
      <w:r>
        <w:rPr>
          <w:color w:val="auto"/>
        </w:rPr>
        <w:t>4</w:t>
      </w:r>
      <w:r>
        <w:rPr>
          <w:rFonts w:hint="eastAsia"/>
          <w:color w:val="auto"/>
        </w:rPr>
        <w:t>、不应采用建筑形体和布置严重不规则的建筑结构。</w:t>
      </w:r>
    </w:p>
    <w:p>
      <w:pPr>
        <w:rPr>
          <w:color w:val="auto"/>
        </w:rPr>
      </w:pPr>
      <w:r>
        <w:rPr>
          <w:color w:val="auto"/>
        </w:rPr>
        <w:t>5</w:t>
      </w:r>
      <w:r>
        <w:rPr>
          <w:rFonts w:hint="eastAsia"/>
          <w:color w:val="auto"/>
        </w:rPr>
        <w:t>、选用的建筑材料应符合下列规定：现浇混凝土应采用预拌混凝土，建筑砂浆应采用预拌砂浆。</w:t>
      </w:r>
    </w:p>
    <w:p>
      <w:pPr>
        <w:rPr>
          <w:color w:val="auto"/>
        </w:rPr>
      </w:pPr>
      <w:r>
        <w:rPr>
          <w:rFonts w:hint="eastAsia"/>
          <w:color w:val="auto"/>
        </w:rPr>
        <w:t>6、适宜的公建项目中可采用钢结构等结构形式，倡导新型外围护保温节能墙体应用，倡导采用透水砼、高性能砼以及装配式预应力砼等应用新型混凝土技术。</w:t>
      </w:r>
    </w:p>
    <w:p>
      <w:pPr>
        <w:rPr>
          <w:color w:val="auto"/>
        </w:rPr>
      </w:pPr>
      <w:r>
        <w:rPr>
          <w:rFonts w:hint="eastAsia"/>
          <w:color w:val="auto"/>
        </w:rPr>
        <w:t>7、施工过程中应落实各项绿色建筑技术措施</w:t>
      </w:r>
      <w:r>
        <w:rPr>
          <w:color w:val="auto"/>
        </w:rPr>
        <w:t>。</w:t>
      </w:r>
    </w:p>
    <w:p>
      <w:pPr>
        <w:pStyle w:val="4"/>
        <w:rPr>
          <w:color w:val="auto"/>
        </w:rPr>
      </w:pPr>
      <w:bookmarkStart w:id="237" w:name="_Toc25831"/>
      <w:r>
        <w:rPr>
          <w:rFonts w:hint="eastAsia"/>
          <w:color w:val="auto"/>
        </w:rPr>
        <w:t>4</w:t>
      </w:r>
      <w:r>
        <w:rPr>
          <w:color w:val="auto"/>
        </w:rPr>
        <w:t>.4.3</w:t>
      </w:r>
      <w:r>
        <w:rPr>
          <w:rFonts w:hint="eastAsia"/>
          <w:color w:val="auto"/>
        </w:rPr>
        <w:t>给排水专业</w:t>
      </w:r>
      <w:bookmarkEnd w:id="237"/>
    </w:p>
    <w:p>
      <w:pPr>
        <w:rPr>
          <w:color w:val="auto"/>
        </w:rPr>
      </w:pPr>
      <w:r>
        <w:rPr>
          <w:color w:val="auto"/>
        </w:rPr>
        <w:t>1</w:t>
      </w:r>
      <w:r>
        <w:rPr>
          <w:rFonts w:hint="eastAsia"/>
          <w:color w:val="auto"/>
        </w:rPr>
        <w:t>、建筑内部的非结构构件、设备及附属设施等应连接牢固 并能适应主体结构变形。</w:t>
      </w:r>
    </w:p>
    <w:p>
      <w:pPr>
        <w:rPr>
          <w:color w:val="auto"/>
        </w:rPr>
      </w:pPr>
      <w:r>
        <w:rPr>
          <w:color w:val="auto"/>
        </w:rPr>
        <w:t>2</w:t>
      </w:r>
      <w:r>
        <w:rPr>
          <w:rFonts w:hint="eastAsia"/>
          <w:color w:val="auto"/>
        </w:rPr>
        <w:t>、给水排水系统的设置应符合下列规定：</w:t>
      </w:r>
    </w:p>
    <w:p>
      <w:pPr>
        <w:rPr>
          <w:color w:val="auto"/>
        </w:rPr>
      </w:pPr>
      <w:r>
        <w:rPr>
          <w:rFonts w:hint="eastAsia"/>
          <w:color w:val="auto"/>
        </w:rPr>
        <w:t>（1）生活饮用水水质应满足现行国家标准《生活饮用水卫生标准》GB 5749的要求；</w:t>
      </w:r>
    </w:p>
    <w:p>
      <w:pPr>
        <w:rPr>
          <w:color w:val="auto"/>
        </w:rPr>
      </w:pPr>
      <w:r>
        <w:rPr>
          <w:rFonts w:hint="eastAsia"/>
          <w:color w:val="auto"/>
        </w:rPr>
        <w:t>（2）应制定水池、水箱等储水设施定期清洗消毒计划并实施,且生活饮用水储水设施每半年清洗消毒不应少于1次；</w:t>
      </w:r>
    </w:p>
    <w:p>
      <w:pPr>
        <w:rPr>
          <w:color w:val="auto"/>
        </w:rPr>
      </w:pPr>
      <w:r>
        <w:rPr>
          <w:rFonts w:hint="eastAsia"/>
          <w:color w:val="auto"/>
        </w:rPr>
        <w:t>（3）应使用构造内自带水封的便器，且其水封深度不应小于50mm；</w:t>
      </w:r>
    </w:p>
    <w:p>
      <w:pPr>
        <w:rPr>
          <w:color w:val="auto"/>
        </w:rPr>
      </w:pPr>
      <w:r>
        <w:rPr>
          <w:rFonts w:hint="eastAsia"/>
          <w:color w:val="auto"/>
        </w:rPr>
        <w:t>（4）非传统水源管道和设备应设置明确、清晰的永久性标识。</w:t>
      </w:r>
    </w:p>
    <w:p>
      <w:pPr>
        <w:rPr>
          <w:color w:val="auto"/>
        </w:rPr>
      </w:pPr>
      <w:r>
        <w:rPr>
          <w:color w:val="auto"/>
        </w:rPr>
        <w:t>3</w:t>
      </w:r>
      <w:r>
        <w:rPr>
          <w:rFonts w:hint="eastAsia"/>
          <w:color w:val="auto"/>
        </w:rPr>
        <w:t xml:space="preserve">、应制定水资源利用方案，统筹利用各种水资源，并应符合下列规定： </w:t>
      </w:r>
    </w:p>
    <w:p>
      <w:pPr>
        <w:rPr>
          <w:color w:val="auto"/>
        </w:rPr>
      </w:pPr>
      <w:r>
        <w:rPr>
          <w:rFonts w:hint="eastAsia"/>
          <w:color w:val="auto"/>
        </w:rPr>
        <w:t>（1）应按使用用途、付费或管理单元，分别设置用水计量装置；</w:t>
      </w:r>
    </w:p>
    <w:p>
      <w:pPr>
        <w:rPr>
          <w:color w:val="auto"/>
        </w:rPr>
      </w:pPr>
      <w:r>
        <w:rPr>
          <w:rFonts w:hint="eastAsia"/>
          <w:color w:val="auto"/>
        </w:rPr>
        <w:t>（2）用水点处水压大于0.2MPa的配水支管应设置减压设施，并应满足给水配件最低工作压力的要求；</w:t>
      </w:r>
    </w:p>
    <w:p>
      <w:pPr>
        <w:rPr>
          <w:color w:val="auto"/>
        </w:rPr>
      </w:pPr>
      <w:r>
        <w:rPr>
          <w:rFonts w:hint="eastAsia"/>
          <w:color w:val="auto"/>
        </w:rPr>
        <w:t>（3）用水器具和设备应满足节水产品的要求。</w:t>
      </w:r>
    </w:p>
    <w:p>
      <w:pPr>
        <w:rPr>
          <w:color w:val="auto"/>
        </w:rPr>
      </w:pPr>
      <w:r>
        <w:rPr>
          <w:color w:val="auto"/>
        </w:rPr>
        <w:t>4</w:t>
      </w:r>
      <w:r>
        <w:rPr>
          <w:rFonts w:hint="eastAsia"/>
          <w:color w:val="auto"/>
        </w:rPr>
        <w:t>、场地的竖向设计应有利于雨水的收集或排放，应有效组织雨水的下渗、滞蓄或再利用；对大于10hm</w:t>
      </w:r>
      <w:r>
        <w:rPr>
          <w:rFonts w:hint="eastAsia"/>
          <w:color w:val="auto"/>
          <w:vertAlign w:val="superscript"/>
        </w:rPr>
        <w:t>2</w:t>
      </w:r>
      <w:r>
        <w:rPr>
          <w:rFonts w:hint="eastAsia"/>
          <w:color w:val="auto"/>
        </w:rPr>
        <w:t>的场地应进行雨水控制利用专项设计。</w:t>
      </w:r>
    </w:p>
    <w:p>
      <w:pPr>
        <w:rPr>
          <w:color w:val="auto"/>
        </w:rPr>
      </w:pPr>
      <w:r>
        <w:rPr>
          <w:color w:val="auto"/>
        </w:rPr>
        <w:t>5</w:t>
      </w:r>
      <w:r>
        <w:rPr>
          <w:rFonts w:hint="eastAsia"/>
          <w:color w:val="auto"/>
        </w:rPr>
        <w:t>、场地内不应有排放超标的污染源。</w:t>
      </w:r>
    </w:p>
    <w:p>
      <w:pPr>
        <w:pStyle w:val="4"/>
        <w:rPr>
          <w:color w:val="auto"/>
        </w:rPr>
      </w:pPr>
      <w:bookmarkStart w:id="238" w:name="_Toc12156"/>
      <w:r>
        <w:rPr>
          <w:rFonts w:hint="eastAsia"/>
          <w:color w:val="auto"/>
        </w:rPr>
        <w:t>4</w:t>
      </w:r>
      <w:r>
        <w:rPr>
          <w:color w:val="auto"/>
        </w:rPr>
        <w:t>.4.4</w:t>
      </w:r>
      <w:r>
        <w:rPr>
          <w:rFonts w:hint="eastAsia"/>
          <w:color w:val="auto"/>
        </w:rPr>
        <w:t>电气专业</w:t>
      </w:r>
      <w:bookmarkEnd w:id="238"/>
    </w:p>
    <w:p>
      <w:pPr>
        <w:rPr>
          <w:color w:val="auto"/>
        </w:rPr>
      </w:pPr>
      <w:r>
        <w:rPr>
          <w:color w:val="auto"/>
        </w:rPr>
        <w:t>1</w:t>
      </w:r>
      <w:r>
        <w:rPr>
          <w:rFonts w:hint="eastAsia"/>
          <w:color w:val="auto"/>
        </w:rPr>
        <w:t>、建筑内部的非结构构件、设备及附属设施等应连接牢固 并能适应主体结构变形。</w:t>
      </w:r>
    </w:p>
    <w:p>
      <w:pPr>
        <w:rPr>
          <w:color w:val="auto"/>
        </w:rPr>
      </w:pPr>
      <w:r>
        <w:rPr>
          <w:color w:val="auto"/>
        </w:rPr>
        <w:t>2</w:t>
      </w:r>
      <w:r>
        <w:rPr>
          <w:rFonts w:hint="eastAsia"/>
          <w:color w:val="auto"/>
        </w:rPr>
        <w:t>、建筑照明应符合下列规定：</w:t>
      </w:r>
    </w:p>
    <w:p>
      <w:pPr>
        <w:rPr>
          <w:color w:val="auto"/>
        </w:rPr>
      </w:pPr>
      <w:r>
        <w:rPr>
          <w:rFonts w:hint="eastAsia"/>
          <w:color w:val="auto"/>
        </w:rPr>
        <w:t>（1）照明数量和质量应符合现行国家标准《建筑照明设计标准》GB 50034的规定；</w:t>
      </w:r>
    </w:p>
    <w:p>
      <w:pPr>
        <w:rPr>
          <w:color w:val="auto"/>
        </w:rPr>
      </w:pPr>
      <w:r>
        <w:rPr>
          <w:rFonts w:hint="eastAsia"/>
          <w:color w:val="auto"/>
        </w:rPr>
        <w:t>（2）人员长期停留的场所应采用符合现行国家标准《灯和灯系统的光生物安全性》GB/T 20145规定的无危险类照明产品；</w:t>
      </w:r>
    </w:p>
    <w:p>
      <w:pPr>
        <w:rPr>
          <w:color w:val="auto"/>
        </w:rPr>
      </w:pPr>
      <w:r>
        <w:rPr>
          <w:rFonts w:hint="eastAsia"/>
          <w:color w:val="auto"/>
        </w:rPr>
        <w:t>（3）选用LED照明产品的光输出波形的波动深度应满足现行国家标准《LED室内照明应用技术要求》GB/T31831的规定。</w:t>
      </w:r>
    </w:p>
    <w:p>
      <w:pPr>
        <w:rPr>
          <w:color w:val="auto"/>
        </w:rPr>
      </w:pPr>
      <w:r>
        <w:rPr>
          <w:color w:val="auto"/>
        </w:rPr>
        <w:t>3</w:t>
      </w:r>
      <w:r>
        <w:rPr>
          <w:rFonts w:hint="eastAsia"/>
          <w:color w:val="auto"/>
        </w:rPr>
        <w:t>、停车场应具有电动汽车充电设施或具备充电设施的安装条件，并应合理设置电动汽车和无障碍汽车停车位。</w:t>
      </w:r>
    </w:p>
    <w:p>
      <w:pPr>
        <w:rPr>
          <w:color w:val="auto"/>
        </w:rPr>
      </w:pPr>
      <w:r>
        <w:rPr>
          <w:color w:val="auto"/>
        </w:rPr>
        <w:t>4</w:t>
      </w:r>
      <w:r>
        <w:rPr>
          <w:rFonts w:hint="eastAsia"/>
          <w:color w:val="auto"/>
        </w:rPr>
        <w:t>、 建筑设备管理系统应具有自动监控管理功能。</w:t>
      </w:r>
    </w:p>
    <w:p>
      <w:pPr>
        <w:rPr>
          <w:color w:val="auto"/>
        </w:rPr>
      </w:pPr>
      <w:r>
        <w:rPr>
          <w:color w:val="auto"/>
        </w:rPr>
        <w:t>5</w:t>
      </w:r>
      <w:r>
        <w:rPr>
          <w:rFonts w:hint="eastAsia"/>
          <w:color w:val="auto"/>
        </w:rPr>
        <w:t>、建筑应设置信息网络系统。</w:t>
      </w:r>
    </w:p>
    <w:p>
      <w:pPr>
        <w:rPr>
          <w:color w:val="auto"/>
        </w:rPr>
      </w:pPr>
      <w:r>
        <w:rPr>
          <w:color w:val="auto"/>
        </w:rPr>
        <w:t>6</w:t>
      </w:r>
      <w:r>
        <w:rPr>
          <w:rFonts w:hint="eastAsia"/>
          <w:color w:val="auto"/>
        </w:rPr>
        <w:t>、主要功能房间的照明功率密度值不应高于现行国家标准《建筑照明设计标准》GB 50034规定的现行值；公共区域的照明系统应采用分区、定时、感应等节能控制；采光区域的照明控制应独立于其他区域的照明控制。</w:t>
      </w:r>
    </w:p>
    <w:p>
      <w:pPr>
        <w:rPr>
          <w:color w:val="auto"/>
        </w:rPr>
      </w:pPr>
      <w:r>
        <w:rPr>
          <w:color w:val="auto"/>
        </w:rPr>
        <w:t>7</w:t>
      </w:r>
      <w:r>
        <w:rPr>
          <w:rFonts w:hint="eastAsia"/>
          <w:color w:val="auto"/>
        </w:rPr>
        <w:t>、冷热源、输配系统和照明等各部分能耗应进行独立分项计量。</w:t>
      </w:r>
    </w:p>
    <w:p>
      <w:pPr>
        <w:rPr>
          <w:color w:val="auto"/>
        </w:rPr>
      </w:pPr>
      <w:r>
        <w:rPr>
          <w:color w:val="auto"/>
        </w:rPr>
        <w:t>8</w:t>
      </w:r>
      <w:r>
        <w:rPr>
          <w:rFonts w:hint="eastAsia"/>
          <w:color w:val="auto"/>
        </w:rPr>
        <w:t>、垂直电梯应采取群控、变频调速或能量反馈等节能措施; 自动扶梯应采用变频感应启动等节能控制措施。</w:t>
      </w:r>
    </w:p>
    <w:p>
      <w:pPr>
        <w:pStyle w:val="4"/>
        <w:rPr>
          <w:color w:val="auto"/>
        </w:rPr>
      </w:pPr>
      <w:bookmarkStart w:id="239" w:name="_Toc22460"/>
      <w:r>
        <w:rPr>
          <w:rFonts w:hint="eastAsia"/>
          <w:color w:val="auto"/>
        </w:rPr>
        <w:t>4</w:t>
      </w:r>
      <w:r>
        <w:rPr>
          <w:color w:val="auto"/>
        </w:rPr>
        <w:t>.4.5</w:t>
      </w:r>
      <w:r>
        <w:rPr>
          <w:rFonts w:hint="eastAsia"/>
          <w:color w:val="auto"/>
        </w:rPr>
        <w:t>暖通专业</w:t>
      </w:r>
      <w:bookmarkEnd w:id="239"/>
    </w:p>
    <w:p>
      <w:pPr>
        <w:rPr>
          <w:color w:val="auto"/>
        </w:rPr>
      </w:pPr>
      <w:r>
        <w:rPr>
          <w:color w:val="auto"/>
        </w:rPr>
        <w:t>1</w:t>
      </w:r>
      <w:r>
        <w:rPr>
          <w:rFonts w:hint="eastAsia"/>
          <w:color w:val="auto"/>
        </w:rPr>
        <w:t>、 建筑内部的非结构构件、设备及附属设施等应连接牢固 并能适应主体结构变形。</w:t>
      </w:r>
    </w:p>
    <w:p>
      <w:pPr>
        <w:rPr>
          <w:color w:val="auto"/>
        </w:rPr>
      </w:pPr>
      <w:r>
        <w:rPr>
          <w:color w:val="auto"/>
        </w:rPr>
        <w:t>2</w:t>
      </w:r>
      <w:r>
        <w:rPr>
          <w:rFonts w:hint="eastAsia"/>
          <w:color w:val="auto"/>
        </w:rPr>
        <w:t>、应采取措施避免厨房、餐厅、打印复印室、卫生间、地下车库等区域的空气和污染物串通到其他空间；应防止厨房、卫生间的排气倒灌。</w:t>
      </w:r>
    </w:p>
    <w:p>
      <w:pPr>
        <w:rPr>
          <w:color w:val="auto"/>
        </w:rPr>
      </w:pPr>
      <w:r>
        <w:rPr>
          <w:color w:val="auto"/>
        </w:rPr>
        <w:t>3</w:t>
      </w:r>
      <w:r>
        <w:rPr>
          <w:rFonts w:hint="eastAsia"/>
          <w:color w:val="auto"/>
        </w:rPr>
        <w:t>、应采取措施保障室内热环境。采用集中供暖空调系统的建筑，房间内的温度、湿度、新风量等设计参数应符合现行国家标准《民用建筑供暖通风与空气调节设计规范》GB 50736的有关规定；采用非集中供暖空调系统的建筑，应具有保障室内热环境的措施或预留条件。</w:t>
      </w:r>
      <w:r>
        <w:rPr>
          <w:rFonts w:hint="eastAsia"/>
          <w:color w:val="auto"/>
          <w:sz w:val="21"/>
          <w:szCs w:val="21"/>
        </w:rPr>
        <w:t>（注：三亚为夏热冬暖区不做热环境要求，但应满足室内温度、湿度、新风量等设计参数的国家规定。）</w:t>
      </w:r>
    </w:p>
    <w:p>
      <w:pPr>
        <w:rPr>
          <w:color w:val="auto"/>
        </w:rPr>
      </w:pPr>
      <w:r>
        <w:rPr>
          <w:color w:val="auto"/>
        </w:rPr>
        <w:t>4</w:t>
      </w:r>
      <w:r>
        <w:rPr>
          <w:rFonts w:hint="eastAsia"/>
          <w:color w:val="auto"/>
        </w:rPr>
        <w:t>、主要功能房间应具有现场独立控制的热环境调节装置。</w:t>
      </w:r>
    </w:p>
    <w:p>
      <w:pPr>
        <w:rPr>
          <w:color w:val="auto"/>
        </w:rPr>
      </w:pPr>
      <w:r>
        <w:rPr>
          <w:color w:val="auto"/>
        </w:rPr>
        <w:t>5</w:t>
      </w:r>
      <w:r>
        <w:rPr>
          <w:rFonts w:hint="eastAsia"/>
          <w:color w:val="auto"/>
        </w:rPr>
        <w:t>、地下车库应设置与排风设备联动的一氧化碳浓度监测。</w:t>
      </w:r>
    </w:p>
    <w:p>
      <w:pPr>
        <w:rPr>
          <w:color w:val="auto"/>
        </w:rPr>
      </w:pPr>
      <w:r>
        <w:rPr>
          <w:color w:val="auto"/>
        </w:rPr>
        <w:t>6</w:t>
      </w:r>
      <w:r>
        <w:rPr>
          <w:rFonts w:hint="eastAsia"/>
          <w:color w:val="auto"/>
        </w:rPr>
        <w:t>、应采取措施降低部分负荷、部分空间使用下的供暖、空调系统能耗，并应符合下列规定：</w:t>
      </w:r>
    </w:p>
    <w:p>
      <w:pPr>
        <w:rPr>
          <w:color w:val="auto"/>
        </w:rPr>
      </w:pPr>
      <w:r>
        <w:rPr>
          <w:rFonts w:hint="eastAsia"/>
          <w:color w:val="auto"/>
        </w:rPr>
        <w:t>（1）应区分房间的朝向细分供暖、空调区域，并应对系统进行分区控制；</w:t>
      </w:r>
    </w:p>
    <w:p>
      <w:pPr>
        <w:rPr>
          <w:color w:val="auto"/>
        </w:rPr>
      </w:pPr>
      <w:r>
        <w:rPr>
          <w:rFonts w:hint="eastAsia"/>
          <w:color w:val="auto"/>
        </w:rPr>
        <w:t>（2）空调冷源的部分负荷性能系数(IPLV)、电冷源综合制冷性能系数(SCOP)应符合现行国家标准《公共建筑节能设计标准》GB 50189的规定。</w:t>
      </w:r>
    </w:p>
    <w:p>
      <w:pPr>
        <w:rPr>
          <w:color w:val="auto"/>
        </w:rPr>
      </w:pPr>
      <w:r>
        <w:rPr>
          <w:color w:val="auto"/>
        </w:rPr>
        <w:t>7</w:t>
      </w:r>
      <w:r>
        <w:rPr>
          <w:rFonts w:hint="eastAsia"/>
          <w:color w:val="auto"/>
        </w:rPr>
        <w:t>、 应根据建筑空间功能设置分区温度，合理降低室内过渡区空间的温度设定标准。</w:t>
      </w:r>
    </w:p>
    <w:p>
      <w:pPr>
        <w:rPr>
          <w:color w:val="auto"/>
        </w:rPr>
      </w:pPr>
      <w:r>
        <w:rPr>
          <w:color w:val="auto"/>
        </w:rPr>
        <w:t>8</w:t>
      </w:r>
      <w:r>
        <w:rPr>
          <w:rFonts w:hint="eastAsia"/>
          <w:color w:val="auto"/>
        </w:rPr>
        <w:t>、场地内不应有排放超标的污染源。</w:t>
      </w:r>
    </w:p>
    <w:p>
      <w:pPr>
        <w:pStyle w:val="3"/>
        <w:spacing w:before="156" w:after="156"/>
        <w:rPr>
          <w:color w:val="auto"/>
        </w:rPr>
      </w:pPr>
      <w:bookmarkStart w:id="240" w:name="_Toc10799"/>
      <w:r>
        <w:rPr>
          <w:rFonts w:hint="eastAsia"/>
          <w:color w:val="auto"/>
        </w:rPr>
        <w:t>4.</w:t>
      </w:r>
      <w:r>
        <w:rPr>
          <w:color w:val="auto"/>
        </w:rPr>
        <w:t>5</w:t>
      </w:r>
      <w:r>
        <w:rPr>
          <w:rFonts w:hint="eastAsia"/>
          <w:color w:val="auto"/>
        </w:rPr>
        <w:t xml:space="preserve"> 装配式建筑技术措施</w:t>
      </w:r>
      <w:bookmarkEnd w:id="240"/>
    </w:p>
    <w:p>
      <w:pPr>
        <w:rPr>
          <w:color w:val="auto"/>
        </w:rPr>
      </w:pPr>
      <w:r>
        <w:rPr>
          <w:rFonts w:hint="eastAsia"/>
          <w:color w:val="auto"/>
        </w:rPr>
        <w:t>采用装配式方式建造的项目，应满足《装配式建筑评价标准》（GB/T 51129-2017）或《海南省装配式建筑装配率计算规则》，装配率均要达到50%以上。</w:t>
      </w:r>
    </w:p>
    <w:p>
      <w:pPr>
        <w:rPr>
          <w:color w:val="auto"/>
        </w:rPr>
      </w:pPr>
      <w:r>
        <w:rPr>
          <w:rFonts w:hint="eastAsia"/>
          <w:color w:val="auto"/>
        </w:rPr>
        <w:t>装配式项目应重视设计生产施工一体化管理， 建设单位应负责统筹构件加工图设计、构件厂、精装修设计、门窗、栏杆、轻质内隔墙、总承包(塔吊、铝模、外围护架、施工电梯等)等参建方，提前确定部品部件供应厂家，并提资在预制构件的预留预埋，高效配合完成构件加工图设计、施工组织设计、装配式专项施工方案，以保障项目施工顺利开展。</w:t>
      </w:r>
    </w:p>
    <w:p>
      <w:pPr>
        <w:rPr>
          <w:color w:val="auto"/>
        </w:rPr>
      </w:pPr>
      <w:r>
        <w:rPr>
          <w:rFonts w:hint="eastAsia"/>
          <w:color w:val="auto"/>
        </w:rPr>
        <w:t>采用预制叠合楼板部位，应本着安全、经济、可靠的原则对叠合板科学拆分，并预留预埋线盒、文管留洞(或预埋套管)、预埋吊点螺栓等，通过管线综合设计，保证管线布置合理、经济、安全。</w:t>
      </w:r>
    </w:p>
    <w:p>
      <w:pPr>
        <w:rPr>
          <w:color w:val="auto"/>
        </w:rPr>
      </w:pPr>
      <w:r>
        <w:rPr>
          <w:rFonts w:hint="eastAsia"/>
          <w:color w:val="auto"/>
        </w:rPr>
        <w:t>预制楼梯踏面防滑条(槽)、滴水线(槽)、挡水沿与预制楼梯在工厂一次浇筑成型，并采用易于脱模的构造形式。预制楼梯采用清水混凝土饰面，加工运输安装过程中应采取措施加强成品保护。</w:t>
      </w:r>
    </w:p>
    <w:p>
      <w:pPr>
        <w:rPr>
          <w:color w:val="auto"/>
        </w:rPr>
      </w:pPr>
      <w:r>
        <w:rPr>
          <w:rFonts w:hint="eastAsia"/>
          <w:color w:val="auto"/>
        </w:rPr>
        <w:t>预制空调板顶面应向外找坡，底面做滴水线(槽)，在工厂一次浇注成型。</w:t>
      </w:r>
    </w:p>
    <w:p>
      <w:pPr>
        <w:rPr>
          <w:color w:val="auto"/>
        </w:rPr>
      </w:pPr>
      <w:r>
        <w:rPr>
          <w:rFonts w:hint="eastAsia"/>
          <w:color w:val="auto"/>
        </w:rPr>
        <w:t>预制外墙构件生产时应以外侧作为模板面，保证外墙的平整度和感观效果。在预制外墙相应位置预留预埋线盒、设备管线、空调孔洞、装修点位，以及必要的防雷措施等。预埋线盒表面应与预制外墙内侧完成面齐平。预制外墙处的立面线条，如重复率较高，宜与预制构件一体成型；如仅局部有线条，宜采用GRC或其它材料后贴方式。预制外墙与装饰构件的连接应牢固可靠。</w:t>
      </w:r>
    </w:p>
    <w:p>
      <w:pPr>
        <w:widowControl/>
        <w:spacing w:line="240" w:lineRule="auto"/>
        <w:ind w:firstLine="0" w:firstLineChars="0"/>
        <w:jc w:val="left"/>
        <w:rPr>
          <w:rFonts w:eastAsia="黑体"/>
          <w:b/>
          <w:bCs/>
          <w:color w:val="auto"/>
          <w:kern w:val="44"/>
          <w:sz w:val="32"/>
          <w:szCs w:val="32"/>
        </w:rPr>
      </w:pPr>
      <w:bookmarkStart w:id="241" w:name="_Toc26565"/>
      <w:bookmarkStart w:id="242" w:name="_Toc3670"/>
      <w:bookmarkStart w:id="243" w:name="_Toc19117"/>
      <w:bookmarkStart w:id="244" w:name="_Toc7135"/>
      <w:bookmarkStart w:id="245" w:name="_Toc31398"/>
      <w:bookmarkStart w:id="246" w:name="_Toc494555778"/>
      <w:bookmarkStart w:id="247" w:name="_Toc346717834"/>
      <w:bookmarkStart w:id="248" w:name="_Toc17281"/>
      <w:r>
        <w:rPr>
          <w:color w:val="auto"/>
        </w:rPr>
        <w:br w:type="page"/>
      </w:r>
    </w:p>
    <w:p>
      <w:pPr>
        <w:pStyle w:val="2"/>
        <w:spacing w:before="156" w:after="156"/>
        <w:rPr>
          <w:color w:val="auto"/>
        </w:rPr>
      </w:pPr>
      <w:bookmarkStart w:id="249" w:name="_Toc3417"/>
      <w:r>
        <w:rPr>
          <w:color w:val="auto"/>
        </w:rPr>
        <w:t>第</w:t>
      </w:r>
      <w:r>
        <w:rPr>
          <w:rFonts w:hint="eastAsia"/>
          <w:color w:val="auto"/>
        </w:rPr>
        <w:t>五</w:t>
      </w:r>
      <w:r>
        <w:rPr>
          <w:color w:val="auto"/>
        </w:rPr>
        <w:t>章</w:t>
      </w:r>
      <w:r>
        <w:rPr>
          <w:rFonts w:hint="eastAsia"/>
          <w:color w:val="auto"/>
        </w:rPr>
        <w:t xml:space="preserve"> 区域建筑节能管控措施</w:t>
      </w:r>
      <w:bookmarkEnd w:id="241"/>
      <w:bookmarkEnd w:id="242"/>
      <w:bookmarkEnd w:id="249"/>
    </w:p>
    <w:bookmarkEnd w:id="243"/>
    <w:bookmarkEnd w:id="244"/>
    <w:bookmarkEnd w:id="245"/>
    <w:bookmarkEnd w:id="246"/>
    <w:bookmarkEnd w:id="247"/>
    <w:bookmarkEnd w:id="248"/>
    <w:p>
      <w:pPr>
        <w:rPr>
          <w:color w:val="auto"/>
          <w:kern w:val="0"/>
        </w:rPr>
      </w:pPr>
      <w:bookmarkStart w:id="250" w:name="_Toc11955"/>
      <w:bookmarkStart w:id="251" w:name="_Toc343617586"/>
      <w:bookmarkStart w:id="252" w:name="_Toc343691991"/>
      <w:bookmarkStart w:id="253" w:name="_Toc342491594"/>
      <w:bookmarkStart w:id="254" w:name="_Toc346717835"/>
      <w:bookmarkStart w:id="255" w:name="_Toc346465511"/>
      <w:bookmarkStart w:id="256" w:name="_Toc494555779"/>
      <w:bookmarkStart w:id="257" w:name="_Toc10180"/>
      <w:r>
        <w:rPr>
          <w:rFonts w:hint="eastAsia"/>
          <w:color w:val="auto"/>
          <w:kern w:val="0"/>
        </w:rPr>
        <w:t>近年来，国家陆续印发了《中共中央国务院关于加快推进生态文明建设的意见》、《绿色建筑行动方案》、《中共中央国务院关于进一步加强城市规划建设管理工作的若干意见》、《关于印发绿色建筑创建行动方案的通知》等一系列重要文件，并提出“适用、经济、绿色、美观”的建筑方针，从国家层面进一步强调要全面建设生态文明，把绿色发展理念贯穿城乡规划建设管理全过程的发展策略，为建筑节能与绿色建筑提供了更广阔的发展空间。</w:t>
      </w:r>
    </w:p>
    <w:p>
      <w:pPr>
        <w:rPr>
          <w:color w:val="auto"/>
          <w:kern w:val="0"/>
        </w:rPr>
      </w:pPr>
      <w:r>
        <w:rPr>
          <w:rFonts w:hint="eastAsia"/>
          <w:color w:val="auto"/>
          <w:kern w:val="0"/>
        </w:rPr>
        <w:t>三亚作为“一带一路”倡议重要节点城市，作为21世纪海上丝绸之路的南大门，未来三亚将投入大量的基础设施建设。优质的生态环境是三亚最大的优势和本钱，坚持在保护中发展、在发展中保护，走绿色、节能、低碳、可持续的发展路线，实现经济社会发展与人口、资源、环境相协调，促进人与自然和谐共生，将是三亚未来城市建设发展的唯一途径。</w:t>
      </w:r>
    </w:p>
    <w:p>
      <w:pPr>
        <w:rPr>
          <w:color w:val="auto"/>
        </w:rPr>
      </w:pPr>
      <w:r>
        <w:rPr>
          <w:rFonts w:hint="eastAsia"/>
          <w:color w:val="auto"/>
        </w:rPr>
        <w:t>为了在“十四五”期间，全面落实能源消费总量控制工作，加快体制和科技创新，充分发挥市场机制作用，保障合理用能、鼓励节约用能，发展可再生能源，本报告根据三亚市区域的特点，结合目前实际条件，提出以下民用建筑区域节能管控措施，须严格执行，将节能工作落实到实处。</w:t>
      </w:r>
    </w:p>
    <w:p>
      <w:pPr>
        <w:pStyle w:val="3"/>
        <w:spacing w:before="156" w:after="156"/>
        <w:rPr>
          <w:color w:val="auto"/>
        </w:rPr>
      </w:pPr>
      <w:bookmarkStart w:id="258" w:name="_Toc19404"/>
      <w:r>
        <w:rPr>
          <w:rFonts w:hint="eastAsia"/>
          <w:color w:val="auto"/>
        </w:rPr>
        <w:t>5.</w:t>
      </w:r>
      <w:r>
        <w:rPr>
          <w:color w:val="auto"/>
        </w:rPr>
        <w:t>1</w:t>
      </w:r>
      <w:r>
        <w:rPr>
          <w:rFonts w:hint="eastAsia"/>
          <w:color w:val="auto"/>
        </w:rPr>
        <w:t>落实区域规划节能措施</w:t>
      </w:r>
      <w:bookmarkEnd w:id="258"/>
    </w:p>
    <w:p>
      <w:pPr>
        <w:rPr>
          <w:color w:val="auto"/>
        </w:rPr>
      </w:pPr>
      <w:r>
        <w:rPr>
          <w:rFonts w:hint="eastAsia"/>
          <w:color w:val="auto"/>
        </w:rPr>
        <w:t>结合规划所在区域地理气候环境特征，通过合理布局、优化设计等手段，构建有利于区域节能的微气候，包括自然采光、通风、日照得热等，具体应满足下列要求:</w:t>
      </w:r>
    </w:p>
    <w:p>
      <w:pPr>
        <w:rPr>
          <w:rFonts w:eastAsia="仿宋_GB2312"/>
          <w:color w:val="auto"/>
        </w:rPr>
      </w:pPr>
      <w:r>
        <w:rPr>
          <w:rFonts w:hint="eastAsia"/>
          <w:color w:val="auto"/>
        </w:rPr>
        <w:t>（1）规划中心区应当尽量紧凑发展，增加路网密度，减小地块尺度，以减少交通出行距离和能耗；</w:t>
      </w:r>
    </w:p>
    <w:p>
      <w:pPr>
        <w:rPr>
          <w:rFonts w:eastAsia="仿宋_GB2312"/>
          <w:color w:val="auto"/>
        </w:rPr>
      </w:pPr>
      <w:r>
        <w:rPr>
          <w:rFonts w:hint="eastAsia"/>
          <w:color w:val="auto"/>
        </w:rPr>
        <w:t>（2）规划应考虑到的绿色空间的合理分布，因地制宜的采用水面、屋顶和立体绿化等手段，降低区域热岛效应；</w:t>
      </w:r>
    </w:p>
    <w:p>
      <w:pPr>
        <w:rPr>
          <w:color w:val="auto"/>
        </w:rPr>
      </w:pPr>
      <w:r>
        <w:rPr>
          <w:rFonts w:hint="eastAsia"/>
          <w:color w:val="auto"/>
        </w:rPr>
        <w:t>（3）对于位于城市通风廊道中的区域，还应当符合通风廊道提出的建筑高度和布局控制要求，避免高低差别较大建筑群增加地表粗糙度，阻碍城市通风。</w:t>
      </w:r>
    </w:p>
    <w:p>
      <w:pPr>
        <w:pStyle w:val="3"/>
        <w:spacing w:before="156" w:after="156"/>
        <w:rPr>
          <w:color w:val="auto"/>
        </w:rPr>
      </w:pPr>
      <w:bookmarkStart w:id="259" w:name="_Toc6547"/>
      <w:bookmarkStart w:id="260" w:name="_Toc25676"/>
      <w:r>
        <w:rPr>
          <w:rFonts w:hint="eastAsia"/>
          <w:color w:val="auto"/>
        </w:rPr>
        <w:t>5.2</w:t>
      </w:r>
      <w:bookmarkEnd w:id="259"/>
      <w:r>
        <w:rPr>
          <w:rFonts w:hint="eastAsia"/>
          <w:color w:val="auto"/>
        </w:rPr>
        <w:t>推进新建建筑节能与能效提升</w:t>
      </w:r>
      <w:bookmarkEnd w:id="260"/>
    </w:p>
    <w:p>
      <w:pPr>
        <w:rPr>
          <w:color w:val="auto"/>
        </w:rPr>
      </w:pPr>
      <w:r>
        <w:rPr>
          <w:rFonts w:hint="eastAsia"/>
          <w:color w:val="auto"/>
        </w:rPr>
        <w:t>（1）</w:t>
      </w:r>
      <w:r>
        <w:rPr>
          <w:color w:val="auto"/>
        </w:rPr>
        <w:t>在严格保障建筑节能标准执行质量和水平的基础上，重点提升新建建筑能效水平</w:t>
      </w:r>
      <w:r>
        <w:rPr>
          <w:rFonts w:hint="eastAsia"/>
          <w:color w:val="auto"/>
        </w:rPr>
        <w:t>。</w:t>
      </w:r>
      <w:r>
        <w:rPr>
          <w:color w:val="auto"/>
        </w:rPr>
        <w:t>城镇新建建筑设计和施工阶段节能强制性标准执行率</w:t>
      </w:r>
      <w:r>
        <w:rPr>
          <w:rFonts w:hint="eastAsia"/>
          <w:color w:val="auto"/>
        </w:rPr>
        <w:t>继续保持</w:t>
      </w:r>
      <w:r>
        <w:rPr>
          <w:color w:val="auto"/>
        </w:rPr>
        <w:t>100%。</w:t>
      </w:r>
    </w:p>
    <w:p>
      <w:pPr>
        <w:rPr>
          <w:color w:val="auto"/>
        </w:rPr>
      </w:pPr>
      <w:r>
        <w:rPr>
          <w:rFonts w:hint="eastAsia"/>
          <w:color w:val="auto"/>
        </w:rPr>
        <w:t>（</w:t>
      </w:r>
      <w:r>
        <w:rPr>
          <w:color w:val="auto"/>
        </w:rPr>
        <w:t>2</w:t>
      </w:r>
      <w:r>
        <w:rPr>
          <w:rFonts w:hint="eastAsia"/>
          <w:color w:val="auto"/>
        </w:rPr>
        <w:t>）单体建筑面积在5000平方米以上的新建国家机关办公建筑和2万平方米以上的新建大型公共建筑，以及进行节能改造的既有公共建筑，应设置分类、分级用能远传计量系统，且设置能源管理系统实现对建筑能耗的监测、数据分析和管理（或接入能源监测平台，实现建筑能耗的监测、数据分析和管理）。</w:t>
      </w:r>
      <w:r>
        <w:rPr>
          <w:rStyle w:val="38"/>
          <w:rFonts w:hint="eastAsia"/>
          <w:color w:val="auto"/>
        </w:rPr>
        <w:footnoteReference w:id="5"/>
      </w:r>
    </w:p>
    <w:p>
      <w:pPr>
        <w:rPr>
          <w:color w:val="auto"/>
        </w:rPr>
      </w:pPr>
      <w:r>
        <w:rPr>
          <w:rFonts w:hint="eastAsia"/>
          <w:color w:val="auto"/>
        </w:rPr>
        <w:t>（</w:t>
      </w:r>
      <w:r>
        <w:rPr>
          <w:color w:val="auto"/>
        </w:rPr>
        <w:t>3</w:t>
      </w:r>
      <w:r>
        <w:rPr>
          <w:rFonts w:hint="eastAsia"/>
          <w:color w:val="auto"/>
        </w:rPr>
        <w:t>）区域内对生产过程中产生的可用作能源的物质应采取回收和再利用措施。</w:t>
      </w:r>
    </w:p>
    <w:p>
      <w:pPr>
        <w:pStyle w:val="3"/>
        <w:spacing w:before="156" w:after="156"/>
        <w:ind w:firstLine="300"/>
        <w:rPr>
          <w:color w:val="auto"/>
        </w:rPr>
      </w:pPr>
      <w:bookmarkStart w:id="261" w:name="_Toc494555801"/>
      <w:bookmarkStart w:id="262" w:name="_Toc14517"/>
      <w:r>
        <w:rPr>
          <w:rFonts w:hint="eastAsia"/>
          <w:color w:val="auto"/>
        </w:rPr>
        <w:t xml:space="preserve">5.3 </w:t>
      </w:r>
      <w:bookmarkStart w:id="263" w:name="_Hlk53581194"/>
      <w:r>
        <w:rPr>
          <w:rFonts w:hint="eastAsia"/>
          <w:color w:val="auto"/>
        </w:rPr>
        <w:t>提出</w:t>
      </w:r>
      <w:r>
        <w:rPr>
          <w:color w:val="auto"/>
        </w:rPr>
        <w:t>三亚</w:t>
      </w:r>
      <w:r>
        <w:rPr>
          <w:rFonts w:hint="eastAsia"/>
          <w:color w:val="auto"/>
        </w:rPr>
        <w:t>民用建筑能耗</w:t>
      </w:r>
      <w:bookmarkEnd w:id="261"/>
      <w:r>
        <w:rPr>
          <w:rFonts w:hint="eastAsia"/>
          <w:color w:val="auto"/>
        </w:rPr>
        <w:t>指标</w:t>
      </w:r>
      <w:bookmarkEnd w:id="262"/>
    </w:p>
    <w:p>
      <w:pPr>
        <w:widowControl/>
        <w:rPr>
          <w:rFonts w:ascii="仿宋_GB2312" w:hAnsi="仿宋_GB2312" w:cs="仿宋_GB2312"/>
          <w:color w:val="auto"/>
          <w:kern w:val="0"/>
          <w:lang w:bidi="ar"/>
        </w:rPr>
      </w:pPr>
      <w:r>
        <w:rPr>
          <w:rFonts w:ascii="仿宋_GB2312" w:hAnsi="仿宋_GB2312" w:cs="仿宋_GB2312"/>
          <w:color w:val="auto"/>
          <w:kern w:val="0"/>
          <w:lang w:bidi="ar"/>
        </w:rPr>
        <w:t>目前，国家和海南均已发布相关能耗标准和能耗限额规定。</w:t>
      </w:r>
      <w:r>
        <w:rPr>
          <w:color w:val="auto"/>
          <w:kern w:val="0"/>
          <w:lang w:bidi="ar"/>
        </w:rPr>
        <w:t>2016</w:t>
      </w:r>
      <w:r>
        <w:rPr>
          <w:rFonts w:ascii="仿宋_GB2312" w:hAnsi="仿宋_GB2312" w:cs="仿宋_GB2312"/>
          <w:color w:val="auto"/>
          <w:kern w:val="0"/>
          <w:lang w:bidi="ar"/>
        </w:rPr>
        <w:t>年，国家发布了《民用建筑能耗标准》（</w:t>
      </w:r>
      <w:r>
        <w:rPr>
          <w:color w:val="auto"/>
          <w:kern w:val="0"/>
          <w:lang w:bidi="ar"/>
        </w:rPr>
        <w:t>GBT51161-2016</w:t>
      </w:r>
      <w:r>
        <w:rPr>
          <w:rFonts w:ascii="仿宋_GB2312" w:hAnsi="仿宋_GB2312" w:cs="仿宋_GB2312"/>
          <w:color w:val="auto"/>
          <w:kern w:val="0"/>
          <w:lang w:bidi="ar"/>
        </w:rPr>
        <w:t>）；</w:t>
      </w:r>
      <w:r>
        <w:rPr>
          <w:color w:val="auto"/>
          <w:kern w:val="0"/>
          <w:lang w:bidi="ar"/>
        </w:rPr>
        <w:t>2014</w:t>
      </w:r>
      <w:r>
        <w:rPr>
          <w:rFonts w:hint="eastAsia"/>
          <w:color w:val="auto"/>
          <w:kern w:val="0"/>
          <w:lang w:bidi="ar"/>
        </w:rPr>
        <w:t>年</w:t>
      </w:r>
      <w:r>
        <w:rPr>
          <w:color w:val="auto"/>
          <w:kern w:val="0"/>
          <w:lang w:bidi="ar"/>
        </w:rPr>
        <w:t>-2016</w:t>
      </w:r>
      <w:r>
        <w:rPr>
          <w:rFonts w:ascii="仿宋_GB2312" w:hAnsi="仿宋_GB2312" w:cs="仿宋_GB2312"/>
          <w:color w:val="auto"/>
          <w:kern w:val="0"/>
          <w:lang w:bidi="ar"/>
        </w:rPr>
        <w:t>年，海南省分别编制并发布地方标准《行政机关能耗限额》（</w:t>
      </w:r>
      <w:r>
        <w:rPr>
          <w:color w:val="auto"/>
          <w:kern w:val="0"/>
          <w:lang w:bidi="ar"/>
        </w:rPr>
        <w:t>DB46/T340</w:t>
      </w:r>
      <w:r>
        <w:rPr>
          <w:rFonts w:ascii="仿宋_GB2312" w:hAnsi="仿宋_GB2312" w:cs="仿宋_GB2312"/>
          <w:color w:val="auto"/>
          <w:kern w:val="0"/>
          <w:lang w:bidi="ar"/>
        </w:rPr>
        <w:t>—</w:t>
      </w:r>
      <w:r>
        <w:rPr>
          <w:color w:val="auto"/>
          <w:kern w:val="0"/>
          <w:lang w:bidi="ar"/>
        </w:rPr>
        <w:t>2015</w:t>
      </w:r>
      <w:r>
        <w:rPr>
          <w:rFonts w:ascii="仿宋_GB2312" w:hAnsi="仿宋_GB2312" w:cs="仿宋_GB2312"/>
          <w:color w:val="auto"/>
          <w:kern w:val="0"/>
          <w:lang w:bidi="ar"/>
        </w:rPr>
        <w:t>）、《普通高等院校能耗限额》（</w:t>
      </w:r>
      <w:r>
        <w:rPr>
          <w:color w:val="auto"/>
          <w:kern w:val="0"/>
          <w:lang w:bidi="ar"/>
        </w:rPr>
        <w:t>DB46/T373</w:t>
      </w:r>
      <w:r>
        <w:rPr>
          <w:rFonts w:ascii="仿宋_GB2312" w:hAnsi="仿宋_GB2312" w:cs="仿宋_GB2312"/>
          <w:color w:val="auto"/>
          <w:kern w:val="0"/>
          <w:lang w:bidi="ar"/>
        </w:rPr>
        <w:t>—</w:t>
      </w:r>
      <w:r>
        <w:rPr>
          <w:color w:val="auto"/>
          <w:kern w:val="0"/>
          <w:lang w:bidi="ar"/>
        </w:rPr>
        <w:t>2016</w:t>
      </w:r>
      <w:r>
        <w:rPr>
          <w:rFonts w:ascii="仿宋_GB2312" w:hAnsi="仿宋_GB2312" w:cs="仿宋_GB2312"/>
          <w:color w:val="auto"/>
          <w:kern w:val="0"/>
          <w:lang w:bidi="ar"/>
        </w:rPr>
        <w:t>）、《商场超市单位电耗限额》（</w:t>
      </w:r>
      <w:r>
        <w:rPr>
          <w:color w:val="auto"/>
          <w:kern w:val="0"/>
          <w:lang w:bidi="ar"/>
        </w:rPr>
        <w:t>DB46297</w:t>
      </w:r>
      <w:r>
        <w:rPr>
          <w:rFonts w:ascii="仿宋_GB2312" w:hAnsi="仿宋_GB2312" w:cs="仿宋_GB2312"/>
          <w:color w:val="auto"/>
          <w:kern w:val="0"/>
          <w:lang w:bidi="ar"/>
        </w:rPr>
        <w:t>—</w:t>
      </w:r>
      <w:r>
        <w:rPr>
          <w:color w:val="auto"/>
          <w:kern w:val="0"/>
          <w:lang w:bidi="ar"/>
        </w:rPr>
        <w:t>2014</w:t>
      </w:r>
      <w:r>
        <w:rPr>
          <w:rFonts w:ascii="仿宋_GB2312" w:hAnsi="仿宋_GB2312" w:cs="仿宋_GB2312"/>
          <w:color w:val="auto"/>
          <w:kern w:val="0"/>
          <w:lang w:bidi="ar"/>
        </w:rPr>
        <w:t>）；</w:t>
      </w:r>
      <w:r>
        <w:rPr>
          <w:color w:val="auto"/>
          <w:kern w:val="0"/>
          <w:lang w:bidi="ar"/>
        </w:rPr>
        <w:t>2019</w:t>
      </w:r>
      <w:r>
        <w:rPr>
          <w:rFonts w:ascii="仿宋_GB2312" w:hAnsi="仿宋_GB2312" w:cs="仿宋_GB2312"/>
          <w:color w:val="auto"/>
          <w:kern w:val="0"/>
          <w:lang w:bidi="ar"/>
        </w:rPr>
        <w:t>年，省机关事务管理局主导编制《海南省公共机构能耗标准》。</w:t>
      </w:r>
      <w:r>
        <w:rPr>
          <w:rFonts w:hint="eastAsia" w:ascii="仿宋_GB2312" w:hAnsi="仿宋_GB2312" w:cs="仿宋_GB2312"/>
          <w:color w:val="auto"/>
          <w:kern w:val="0"/>
          <w:lang w:bidi="ar"/>
        </w:rPr>
        <w:t>依据以上</w:t>
      </w:r>
      <w:r>
        <w:rPr>
          <w:rFonts w:ascii="仿宋_GB2312" w:hAnsi="仿宋_GB2312" w:cs="仿宋_GB2312"/>
          <w:color w:val="auto"/>
          <w:kern w:val="0"/>
          <w:lang w:bidi="ar"/>
        </w:rPr>
        <w:t>标准</w:t>
      </w:r>
      <w:r>
        <w:rPr>
          <w:rFonts w:hint="eastAsia" w:ascii="仿宋_GB2312" w:hAnsi="仿宋_GB2312" w:cs="仿宋_GB2312"/>
          <w:color w:val="auto"/>
          <w:kern w:val="0"/>
          <w:lang w:bidi="ar"/>
        </w:rPr>
        <w:t>，结合三亚</w:t>
      </w:r>
      <w:r>
        <w:rPr>
          <w:rFonts w:ascii="仿宋_GB2312" w:hAnsi="仿宋_GB2312" w:cs="仿宋_GB2312"/>
          <w:color w:val="auto"/>
          <w:kern w:val="0"/>
          <w:lang w:bidi="ar"/>
        </w:rPr>
        <w:t>实际的建筑能耗数据，制定了符合</w:t>
      </w:r>
      <w:r>
        <w:rPr>
          <w:rFonts w:hint="eastAsia" w:ascii="仿宋_GB2312" w:hAnsi="仿宋_GB2312" w:cs="仿宋_GB2312"/>
          <w:color w:val="auto"/>
          <w:kern w:val="0"/>
          <w:lang w:bidi="ar"/>
        </w:rPr>
        <w:t>三亚</w:t>
      </w:r>
      <w:r>
        <w:rPr>
          <w:rFonts w:ascii="仿宋_GB2312" w:hAnsi="仿宋_GB2312" w:cs="仿宋_GB2312"/>
          <w:color w:val="auto"/>
          <w:kern w:val="0"/>
          <w:lang w:bidi="ar"/>
        </w:rPr>
        <w:t>当前</w:t>
      </w:r>
      <w:r>
        <w:rPr>
          <w:rFonts w:hint="eastAsia" w:ascii="仿宋_GB2312" w:hAnsi="仿宋_GB2312" w:cs="仿宋_GB2312"/>
          <w:color w:val="auto"/>
          <w:kern w:val="0"/>
          <w:lang w:bidi="ar"/>
        </w:rPr>
        <w:t>情况</w:t>
      </w:r>
      <w:r>
        <w:rPr>
          <w:rFonts w:ascii="仿宋_GB2312" w:hAnsi="仿宋_GB2312" w:cs="仿宋_GB2312"/>
          <w:color w:val="auto"/>
          <w:kern w:val="0"/>
          <w:lang w:bidi="ar"/>
        </w:rPr>
        <w:t>的建筑能耗指标，以此强化对建筑终端用能强度的控制与引导。</w:t>
      </w:r>
      <w:r>
        <w:rPr>
          <w:rFonts w:hint="eastAsia" w:ascii="仿宋_GB2312" w:hAnsi="仿宋_GB2312" w:cs="仿宋_GB2312"/>
          <w:color w:val="auto"/>
          <w:kern w:val="0"/>
          <w:lang w:bidi="ar"/>
        </w:rPr>
        <w:t>（表5-1）</w:t>
      </w:r>
    </w:p>
    <w:p>
      <w:pPr>
        <w:pStyle w:val="3"/>
        <w:spacing w:before="156" w:after="156"/>
        <w:rPr>
          <w:color w:val="auto"/>
        </w:rPr>
      </w:pPr>
      <w:bookmarkStart w:id="264" w:name="_Toc21871"/>
      <w:r>
        <w:rPr>
          <w:rFonts w:hint="eastAsia"/>
          <w:color w:val="auto"/>
        </w:rPr>
        <w:t>5.4 推进绿色建筑与</w:t>
      </w:r>
      <w:r>
        <w:rPr>
          <w:color w:val="auto"/>
        </w:rPr>
        <w:t>绿色</w:t>
      </w:r>
      <w:r>
        <w:rPr>
          <w:rFonts w:hint="eastAsia"/>
          <w:color w:val="auto"/>
        </w:rPr>
        <w:t>生态</w:t>
      </w:r>
      <w:r>
        <w:rPr>
          <w:color w:val="auto"/>
        </w:rPr>
        <w:t>片区</w:t>
      </w:r>
      <w:r>
        <w:rPr>
          <w:rFonts w:hint="eastAsia"/>
          <w:color w:val="auto"/>
        </w:rPr>
        <w:t>发展</w:t>
      </w:r>
      <w:bookmarkEnd w:id="264"/>
    </w:p>
    <w:p>
      <w:pPr>
        <w:pStyle w:val="4"/>
        <w:rPr>
          <w:color w:val="auto"/>
        </w:rPr>
      </w:pPr>
      <w:bookmarkStart w:id="265" w:name="_Toc5714"/>
      <w:r>
        <w:rPr>
          <w:rFonts w:hint="eastAsia"/>
          <w:color w:val="auto"/>
        </w:rPr>
        <w:t>5.4.1继续执行强制性规定要求</w:t>
      </w:r>
      <w:bookmarkEnd w:id="265"/>
    </w:p>
    <w:p>
      <w:pPr>
        <w:rPr>
          <w:color w:val="auto"/>
        </w:rPr>
      </w:pPr>
      <w:r>
        <w:rPr>
          <w:color w:val="auto"/>
        </w:rPr>
        <w:t>全市</w:t>
      </w:r>
      <w:r>
        <w:rPr>
          <w:rFonts w:hint="eastAsia"/>
          <w:color w:val="auto"/>
        </w:rPr>
        <w:t>行政区范围内，符合以下标准的</w:t>
      </w:r>
      <w:r>
        <w:rPr>
          <w:color w:val="auto"/>
        </w:rPr>
        <w:t>新建民用建筑</w:t>
      </w:r>
      <w:r>
        <w:rPr>
          <w:rFonts w:hint="eastAsia"/>
          <w:color w:val="auto"/>
        </w:rPr>
        <w:t>应达到绿色建筑基本级</w:t>
      </w:r>
      <w:r>
        <w:rPr>
          <w:color w:val="auto"/>
        </w:rPr>
        <w:t>标准</w:t>
      </w:r>
      <w:r>
        <w:rPr>
          <w:rFonts w:hint="eastAsia"/>
          <w:color w:val="auto"/>
        </w:rPr>
        <w:t>。</w:t>
      </w:r>
      <w:r>
        <w:rPr>
          <w:rStyle w:val="57"/>
          <w:rFonts w:hint="eastAsia"/>
          <w:color w:val="auto"/>
        </w:rPr>
        <w:footnoteReference w:id="6"/>
      </w:r>
    </w:p>
    <w:p>
      <w:pPr>
        <w:rPr>
          <w:rFonts w:eastAsia="仿宋_GB2312"/>
          <w:color w:val="auto"/>
        </w:rPr>
      </w:pPr>
      <w:r>
        <w:rPr>
          <w:rFonts w:hint="eastAsia"/>
          <w:color w:val="auto"/>
        </w:rPr>
        <w:t>（1）建筑面积大于 1000平方米或超过五层的政府投资的国家机关、学校、医院、博物馆、科技馆、体育馆等建筑；</w:t>
      </w:r>
      <w:r>
        <w:rPr>
          <w:rFonts w:eastAsia="仿宋_GB2312"/>
          <w:color w:val="auto"/>
        </w:rPr>
        <w:t xml:space="preserve"> </w:t>
      </w:r>
    </w:p>
    <w:p>
      <w:pPr>
        <w:rPr>
          <w:rFonts w:eastAsia="仿宋_GB2312"/>
          <w:color w:val="auto"/>
        </w:rPr>
      </w:pPr>
      <w:r>
        <w:rPr>
          <w:rFonts w:hint="eastAsia"/>
          <w:color w:val="auto"/>
        </w:rPr>
        <w:t>（2）建筑面积大于 1000平方米或超过五层的住宅建筑；</w:t>
      </w:r>
    </w:p>
    <w:p>
      <w:pPr>
        <w:rPr>
          <w:color w:val="auto"/>
        </w:rPr>
      </w:pPr>
      <w:r>
        <w:rPr>
          <w:rFonts w:hint="eastAsia"/>
          <w:color w:val="auto"/>
        </w:rPr>
        <w:t>（3）单体建筑面积超过 2万平方米的机场、车站、宾 馆、饭店、商场、写字楼等大型公共建筑。</w:t>
      </w:r>
    </w:p>
    <w:p>
      <w:pPr>
        <w:widowControl/>
        <w:rPr>
          <w:rFonts w:ascii="仿宋_GB2312" w:hAnsi="仿宋_GB2312" w:cs="仿宋_GB2312"/>
          <w:color w:val="auto"/>
          <w:kern w:val="0"/>
          <w:lang w:bidi="ar"/>
        </w:rPr>
      </w:pPr>
    </w:p>
    <w:p>
      <w:pPr>
        <w:widowControl/>
        <w:rPr>
          <w:rFonts w:ascii="仿宋_GB2312" w:hAnsi="仿宋_GB2312" w:cs="仿宋_GB2312"/>
          <w:color w:val="auto"/>
          <w:kern w:val="0"/>
          <w:lang w:bidi="ar"/>
        </w:rPr>
      </w:pPr>
    </w:p>
    <w:p>
      <w:pPr>
        <w:pStyle w:val="10"/>
        <w:spacing w:before="312"/>
        <w:ind w:firstLine="420"/>
        <w:rPr>
          <w:rFonts w:ascii="Times New Roman" w:hAnsi="Times New Roman"/>
          <w:color w:val="auto"/>
          <w:sz w:val="21"/>
          <w:szCs w:val="21"/>
          <w:vertAlign w:val="superscript"/>
        </w:rPr>
      </w:pPr>
      <w:r>
        <w:rPr>
          <w:rFonts w:ascii="Times New Roman" w:hAnsi="Times New Roman"/>
          <w:color w:val="auto"/>
          <w:sz w:val="21"/>
          <w:szCs w:val="21"/>
        </w:rPr>
        <w:t>表5-1 三亚市民用建筑能耗指标</w:t>
      </w:r>
      <w:r>
        <w:rPr>
          <w:rFonts w:ascii="Times New Roman" w:hAnsi="Times New Roman"/>
          <w:color w:val="auto"/>
        </w:rPr>
        <w:t>[kW</w:t>
      </w:r>
      <w:r>
        <w:rPr>
          <w:rFonts w:ascii="Times New Roman" w:hAnsi="Times New Roman"/>
          <w:color w:val="auto"/>
          <w:sz w:val="21"/>
          <w:szCs w:val="21"/>
        </w:rPr>
        <w:t>·</w:t>
      </w:r>
      <w:r>
        <w:rPr>
          <w:rFonts w:ascii="Times New Roman" w:hAnsi="Times New Roman"/>
          <w:color w:val="auto"/>
        </w:rPr>
        <w:t>h/(</w:t>
      </w:r>
      <w:r>
        <w:rPr>
          <w:rFonts w:hint="eastAsia" w:ascii="Times New Roman" w:hAnsi="Times New Roman"/>
          <w:color w:val="auto"/>
        </w:rPr>
        <w:t>㎡</w:t>
      </w:r>
      <w:r>
        <w:rPr>
          <w:rFonts w:ascii="Times New Roman" w:hAnsi="Times New Roman"/>
          <w:color w:val="auto"/>
        </w:rPr>
        <w:t>a)]</w:t>
      </w:r>
    </w:p>
    <w:tbl>
      <w:tblPr>
        <w:tblStyle w:val="39"/>
        <w:tblW w:w="8138" w:type="dxa"/>
        <w:tblInd w:w="0" w:type="dxa"/>
        <w:tblLayout w:type="fixed"/>
        <w:tblCellMar>
          <w:top w:w="0" w:type="dxa"/>
          <w:left w:w="0" w:type="dxa"/>
          <w:bottom w:w="0" w:type="dxa"/>
          <w:right w:w="0" w:type="dxa"/>
        </w:tblCellMar>
      </w:tblPr>
      <w:tblGrid>
        <w:gridCol w:w="2529"/>
        <w:gridCol w:w="738"/>
        <w:gridCol w:w="2527"/>
        <w:gridCol w:w="1172"/>
        <w:gridCol w:w="1172"/>
      </w:tblGrid>
      <w:tr>
        <w:tblPrEx>
          <w:tblLayout w:type="fixed"/>
          <w:tblCellMar>
            <w:top w:w="0" w:type="dxa"/>
            <w:left w:w="0" w:type="dxa"/>
            <w:bottom w:w="0" w:type="dxa"/>
            <w:right w:w="0" w:type="dxa"/>
          </w:tblCellMar>
        </w:tblPrEx>
        <w:trPr>
          <w:trHeight w:val="339" w:hRule="atLeast"/>
        </w:trPr>
        <w:tc>
          <w:tcPr>
            <w:tcW w:w="2529"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b/>
                <w:bCs/>
                <w:color w:val="auto"/>
              </w:rPr>
            </w:pPr>
            <w:r>
              <w:rPr>
                <w:rFonts w:ascii="Times New Roman" w:hAnsi="Times New Roman"/>
                <w:b/>
                <w:bCs/>
                <w:color w:val="auto"/>
              </w:rPr>
              <w:t>类型</w:t>
            </w:r>
          </w:p>
        </w:tc>
        <w:tc>
          <w:tcPr>
            <w:tcW w:w="738"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b/>
                <w:bCs/>
                <w:color w:val="auto"/>
              </w:rPr>
            </w:pPr>
            <w:r>
              <w:rPr>
                <w:rFonts w:ascii="Times New Roman" w:hAnsi="Times New Roman"/>
                <w:b/>
                <w:bCs/>
                <w:color w:val="auto"/>
              </w:rPr>
              <w:t>类别</w:t>
            </w:r>
          </w:p>
        </w:tc>
        <w:tc>
          <w:tcPr>
            <w:tcW w:w="2527"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b/>
                <w:bCs/>
                <w:color w:val="auto"/>
              </w:rPr>
            </w:pPr>
            <w:r>
              <w:rPr>
                <w:rFonts w:ascii="Times New Roman" w:hAnsi="Times New Roman"/>
                <w:b/>
                <w:bCs/>
                <w:color w:val="auto"/>
              </w:rPr>
              <w:t>分项</w:t>
            </w:r>
          </w:p>
        </w:tc>
        <w:tc>
          <w:tcPr>
            <w:tcW w:w="2344"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b/>
                <w:bCs/>
                <w:color w:val="auto"/>
              </w:rPr>
            </w:pPr>
            <w:r>
              <w:rPr>
                <w:rFonts w:ascii="Times New Roman" w:hAnsi="Times New Roman"/>
                <w:b/>
                <w:bCs/>
                <w:color w:val="auto"/>
              </w:rPr>
              <w:t>标准</w:t>
            </w:r>
          </w:p>
        </w:tc>
      </w:tr>
      <w:tr>
        <w:tblPrEx>
          <w:tblLayout w:type="fixed"/>
          <w:tblCellMar>
            <w:top w:w="0" w:type="dxa"/>
            <w:left w:w="0" w:type="dxa"/>
            <w:bottom w:w="0" w:type="dxa"/>
            <w:right w:w="0" w:type="dxa"/>
          </w:tblCellMar>
        </w:tblPrEx>
        <w:trPr>
          <w:trHeight w:val="339" w:hRule="atLeast"/>
        </w:trPr>
        <w:tc>
          <w:tcPr>
            <w:tcW w:w="2529"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b/>
                <w:bCs/>
                <w:color w:val="auto"/>
              </w:rPr>
            </w:pPr>
          </w:p>
        </w:tc>
        <w:tc>
          <w:tcPr>
            <w:tcW w:w="738"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b/>
                <w:bCs/>
                <w:color w:val="auto"/>
              </w:rPr>
            </w:pPr>
          </w:p>
        </w:tc>
        <w:tc>
          <w:tcPr>
            <w:tcW w:w="2527"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b/>
                <w:bCs/>
                <w:color w:val="auto"/>
              </w:rPr>
            </w:pP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b/>
                <w:bCs/>
                <w:color w:val="auto"/>
              </w:rPr>
            </w:pPr>
            <w:r>
              <w:rPr>
                <w:rFonts w:ascii="Times New Roman" w:hAnsi="Times New Roman"/>
                <w:b/>
                <w:bCs/>
                <w:color w:val="auto"/>
              </w:rPr>
              <w:t>约束值</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b/>
                <w:bCs/>
                <w:color w:val="auto"/>
              </w:rPr>
            </w:pPr>
            <w:r>
              <w:rPr>
                <w:rFonts w:ascii="Times New Roman" w:hAnsi="Times New Roman"/>
                <w:b/>
                <w:bCs/>
                <w:color w:val="auto"/>
              </w:rPr>
              <w:t>引导值</w:t>
            </w:r>
          </w:p>
        </w:tc>
      </w:tr>
      <w:tr>
        <w:tblPrEx>
          <w:tblLayout w:type="fixed"/>
          <w:tblCellMar>
            <w:top w:w="0" w:type="dxa"/>
            <w:left w:w="0" w:type="dxa"/>
            <w:bottom w:w="0" w:type="dxa"/>
            <w:right w:w="0" w:type="dxa"/>
          </w:tblCellMar>
        </w:tblPrEx>
        <w:trPr>
          <w:trHeight w:val="454" w:hRule="exact"/>
        </w:trPr>
        <w:tc>
          <w:tcPr>
            <w:tcW w:w="25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党政机关办公</w:t>
            </w: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hint="eastAsia" w:ascii="Times New Roman" w:hAnsi="Times New Roman"/>
                <w:color w:val="auto"/>
              </w:rPr>
              <w:t>-</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65</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50</w:t>
            </w:r>
          </w:p>
        </w:tc>
      </w:tr>
      <w:tr>
        <w:tblPrEx>
          <w:tblLayout w:type="fixed"/>
          <w:tblCellMar>
            <w:top w:w="0" w:type="dxa"/>
            <w:left w:w="0" w:type="dxa"/>
            <w:bottom w:w="0" w:type="dxa"/>
            <w:right w:w="0" w:type="dxa"/>
          </w:tblCellMar>
        </w:tblPrEx>
        <w:trPr>
          <w:trHeight w:val="454" w:hRule="exact"/>
        </w:trPr>
        <w:tc>
          <w:tcPr>
            <w:tcW w:w="25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非党政机关办公</w:t>
            </w: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hint="eastAsia" w:ascii="Times New Roman" w:hAnsi="Times New Roman"/>
                <w:color w:val="auto"/>
              </w:rPr>
              <w:t>-</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80</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65</w:t>
            </w:r>
          </w:p>
        </w:tc>
      </w:tr>
      <w:tr>
        <w:tblPrEx>
          <w:tblLayout w:type="fixed"/>
          <w:tblCellMar>
            <w:top w:w="0" w:type="dxa"/>
            <w:left w:w="0" w:type="dxa"/>
            <w:bottom w:w="0" w:type="dxa"/>
            <w:right w:w="0" w:type="dxa"/>
          </w:tblCellMar>
        </w:tblPrEx>
        <w:trPr>
          <w:trHeight w:val="454" w:hRule="exact"/>
        </w:trPr>
        <w:tc>
          <w:tcPr>
            <w:tcW w:w="2529"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旅馆</w:t>
            </w:r>
          </w:p>
        </w:tc>
        <w:tc>
          <w:tcPr>
            <w:tcW w:w="738"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A类</w:t>
            </w: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三星级</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100</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80</w:t>
            </w:r>
          </w:p>
        </w:tc>
      </w:tr>
      <w:tr>
        <w:tblPrEx>
          <w:tblLayout w:type="fixed"/>
          <w:tblCellMar>
            <w:top w:w="0" w:type="dxa"/>
            <w:left w:w="0" w:type="dxa"/>
            <w:bottom w:w="0" w:type="dxa"/>
            <w:right w:w="0" w:type="dxa"/>
          </w:tblCellMar>
        </w:tblPrEx>
        <w:trPr>
          <w:trHeight w:val="454" w:hRule="exact"/>
        </w:trPr>
        <w:tc>
          <w:tcPr>
            <w:tcW w:w="2529" w:type="dxa"/>
            <w:vMerge w:val="continue"/>
            <w:tcBorders>
              <w:left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738" w:type="dxa"/>
            <w:vMerge w:val="continue"/>
            <w:tcBorders>
              <w:left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四星级</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hint="eastAsia" w:ascii="Times New Roman" w:hAnsi="Times New Roman"/>
                <w:color w:val="auto"/>
              </w:rPr>
              <w:t>114</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100</w:t>
            </w:r>
          </w:p>
        </w:tc>
      </w:tr>
      <w:tr>
        <w:tblPrEx>
          <w:tblLayout w:type="fixed"/>
          <w:tblCellMar>
            <w:top w:w="0" w:type="dxa"/>
            <w:left w:w="0" w:type="dxa"/>
            <w:bottom w:w="0" w:type="dxa"/>
            <w:right w:w="0" w:type="dxa"/>
          </w:tblCellMar>
        </w:tblPrEx>
        <w:trPr>
          <w:trHeight w:val="454" w:hRule="exact"/>
        </w:trPr>
        <w:tc>
          <w:tcPr>
            <w:tcW w:w="2529" w:type="dxa"/>
            <w:vMerge w:val="continue"/>
            <w:tcBorders>
              <w:left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738"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五星级</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130</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110</w:t>
            </w:r>
          </w:p>
        </w:tc>
      </w:tr>
      <w:tr>
        <w:tblPrEx>
          <w:tblLayout w:type="fixed"/>
          <w:tblCellMar>
            <w:top w:w="0" w:type="dxa"/>
            <w:left w:w="0" w:type="dxa"/>
            <w:bottom w:w="0" w:type="dxa"/>
            <w:right w:w="0" w:type="dxa"/>
          </w:tblCellMar>
        </w:tblPrEx>
        <w:trPr>
          <w:trHeight w:val="454" w:hRule="exact"/>
        </w:trPr>
        <w:tc>
          <w:tcPr>
            <w:tcW w:w="2529" w:type="dxa"/>
            <w:vMerge w:val="continue"/>
            <w:tcBorders>
              <w:left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738" w:type="dxa"/>
            <w:vMerge w:val="restart"/>
            <w:tcBorders>
              <w:left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B类</w:t>
            </w: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三星级</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100</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80</w:t>
            </w:r>
          </w:p>
        </w:tc>
      </w:tr>
      <w:tr>
        <w:tblPrEx>
          <w:tblLayout w:type="fixed"/>
          <w:tblCellMar>
            <w:top w:w="0" w:type="dxa"/>
            <w:left w:w="0" w:type="dxa"/>
            <w:bottom w:w="0" w:type="dxa"/>
            <w:right w:w="0" w:type="dxa"/>
          </w:tblCellMar>
        </w:tblPrEx>
        <w:trPr>
          <w:trHeight w:val="454" w:hRule="exact"/>
        </w:trPr>
        <w:tc>
          <w:tcPr>
            <w:tcW w:w="2529" w:type="dxa"/>
            <w:vMerge w:val="continue"/>
            <w:tcBorders>
              <w:left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738" w:type="dxa"/>
            <w:vMerge w:val="continue"/>
            <w:tcBorders>
              <w:left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四星级</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hint="eastAsia" w:ascii="Times New Roman" w:hAnsi="Times New Roman"/>
                <w:color w:val="auto"/>
              </w:rPr>
              <w:t>114</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100</w:t>
            </w:r>
          </w:p>
        </w:tc>
      </w:tr>
      <w:tr>
        <w:tblPrEx>
          <w:tblLayout w:type="fixed"/>
          <w:tblCellMar>
            <w:top w:w="0" w:type="dxa"/>
            <w:left w:w="0" w:type="dxa"/>
            <w:bottom w:w="0" w:type="dxa"/>
            <w:right w:w="0" w:type="dxa"/>
          </w:tblCellMar>
        </w:tblPrEx>
        <w:trPr>
          <w:trHeight w:val="454" w:hRule="exact"/>
        </w:trPr>
        <w:tc>
          <w:tcPr>
            <w:tcW w:w="2529"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738" w:type="dxa"/>
            <w:vMerge w:val="continue"/>
            <w:tcBorders>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五星级</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130</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110</w:t>
            </w:r>
          </w:p>
        </w:tc>
      </w:tr>
      <w:tr>
        <w:tblPrEx>
          <w:tblLayout w:type="fixed"/>
          <w:tblCellMar>
            <w:top w:w="0" w:type="dxa"/>
            <w:left w:w="0" w:type="dxa"/>
            <w:bottom w:w="0" w:type="dxa"/>
            <w:right w:w="0" w:type="dxa"/>
          </w:tblCellMar>
        </w:tblPrEx>
        <w:trPr>
          <w:trHeight w:val="454" w:hRule="exact"/>
        </w:trPr>
        <w:tc>
          <w:tcPr>
            <w:tcW w:w="2529" w:type="dxa"/>
            <w:vMerge w:val="restart"/>
            <w:tcBorders>
              <w:top w:val="single" w:color="000000" w:sz="4" w:space="0"/>
              <w:left w:val="single" w:color="000000" w:sz="4" w:space="0"/>
              <w:bottom w:val="single" w:color="000000" w:sz="4" w:space="0"/>
              <w:right w:val="single" w:color="auto"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商场</w:t>
            </w:r>
          </w:p>
        </w:tc>
        <w:tc>
          <w:tcPr>
            <w:tcW w:w="738" w:type="dxa"/>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A类</w:t>
            </w:r>
          </w:p>
        </w:tc>
        <w:tc>
          <w:tcPr>
            <w:tcW w:w="2527"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一般购物中心、百货</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120</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100</w:t>
            </w:r>
          </w:p>
        </w:tc>
      </w:tr>
      <w:tr>
        <w:tblPrEx>
          <w:tblLayout w:type="fixed"/>
          <w:tblCellMar>
            <w:top w:w="0" w:type="dxa"/>
            <w:left w:w="0" w:type="dxa"/>
            <w:bottom w:w="0" w:type="dxa"/>
            <w:right w:w="0" w:type="dxa"/>
          </w:tblCellMar>
        </w:tblPrEx>
        <w:trPr>
          <w:trHeight w:val="454" w:hRule="exact"/>
        </w:trPr>
        <w:tc>
          <w:tcPr>
            <w:tcW w:w="2529" w:type="dxa"/>
            <w:vMerge w:val="continue"/>
            <w:tcBorders>
              <w:top w:val="single" w:color="000000" w:sz="4" w:space="0"/>
              <w:left w:val="single" w:color="000000" w:sz="4" w:space="0"/>
              <w:bottom w:val="single" w:color="000000" w:sz="4" w:space="0"/>
              <w:right w:val="single" w:color="auto"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738"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2527"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一般超市</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135</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105</w:t>
            </w:r>
          </w:p>
        </w:tc>
      </w:tr>
      <w:tr>
        <w:tblPrEx>
          <w:tblLayout w:type="fixed"/>
          <w:tblCellMar>
            <w:top w:w="0" w:type="dxa"/>
            <w:left w:w="0" w:type="dxa"/>
            <w:bottom w:w="0" w:type="dxa"/>
            <w:right w:w="0" w:type="dxa"/>
          </w:tblCellMar>
        </w:tblPrEx>
        <w:trPr>
          <w:trHeight w:val="454" w:hRule="exact"/>
        </w:trPr>
        <w:tc>
          <w:tcPr>
            <w:tcW w:w="2529" w:type="dxa"/>
            <w:vMerge w:val="continue"/>
            <w:tcBorders>
              <w:top w:val="single" w:color="000000" w:sz="4" w:space="0"/>
              <w:left w:val="single" w:color="000000" w:sz="4" w:space="0"/>
              <w:bottom w:val="single" w:color="000000" w:sz="4" w:space="0"/>
              <w:right w:val="single" w:color="auto"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738" w:type="dxa"/>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B类</w:t>
            </w:r>
          </w:p>
        </w:tc>
        <w:tc>
          <w:tcPr>
            <w:tcW w:w="2527"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大型百货店</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245</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190</w:t>
            </w:r>
          </w:p>
        </w:tc>
      </w:tr>
      <w:tr>
        <w:tblPrEx>
          <w:tblLayout w:type="fixed"/>
          <w:tblCellMar>
            <w:top w:w="0" w:type="dxa"/>
            <w:left w:w="0" w:type="dxa"/>
            <w:bottom w:w="0" w:type="dxa"/>
            <w:right w:w="0" w:type="dxa"/>
          </w:tblCellMar>
        </w:tblPrEx>
        <w:trPr>
          <w:trHeight w:val="454" w:hRule="exact"/>
        </w:trPr>
        <w:tc>
          <w:tcPr>
            <w:tcW w:w="2529" w:type="dxa"/>
            <w:vMerge w:val="continue"/>
            <w:tcBorders>
              <w:top w:val="single" w:color="000000" w:sz="4" w:space="0"/>
              <w:left w:val="single" w:color="000000" w:sz="4" w:space="0"/>
              <w:bottom w:val="single" w:color="000000" w:sz="4" w:space="0"/>
              <w:right w:val="single" w:color="auto"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738"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2527"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大型购物中心</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300</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245</w:t>
            </w:r>
          </w:p>
        </w:tc>
      </w:tr>
      <w:tr>
        <w:tblPrEx>
          <w:tblLayout w:type="fixed"/>
          <w:tblCellMar>
            <w:top w:w="0" w:type="dxa"/>
            <w:left w:w="0" w:type="dxa"/>
            <w:bottom w:w="0" w:type="dxa"/>
            <w:right w:w="0" w:type="dxa"/>
          </w:tblCellMar>
        </w:tblPrEx>
        <w:trPr>
          <w:trHeight w:val="454" w:hRule="exact"/>
        </w:trPr>
        <w:tc>
          <w:tcPr>
            <w:tcW w:w="2529" w:type="dxa"/>
            <w:vMerge w:val="continue"/>
            <w:tcBorders>
              <w:top w:val="single" w:color="000000" w:sz="4" w:space="0"/>
              <w:left w:val="single" w:color="000000" w:sz="4" w:space="0"/>
              <w:bottom w:val="single" w:color="000000" w:sz="4" w:space="0"/>
              <w:right w:val="single" w:color="auto"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738"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2527"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大型超市</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290</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240</w:t>
            </w:r>
          </w:p>
        </w:tc>
      </w:tr>
      <w:tr>
        <w:tblPrEx>
          <w:tblLayout w:type="fixed"/>
          <w:tblCellMar>
            <w:top w:w="0" w:type="dxa"/>
            <w:left w:w="0" w:type="dxa"/>
            <w:bottom w:w="0" w:type="dxa"/>
            <w:right w:w="0" w:type="dxa"/>
          </w:tblCellMar>
        </w:tblPrEx>
        <w:trPr>
          <w:trHeight w:val="454" w:hRule="exact"/>
        </w:trPr>
        <w:tc>
          <w:tcPr>
            <w:tcW w:w="2529" w:type="dxa"/>
            <w:vMerge w:val="restart"/>
            <w:tcBorders>
              <w:top w:val="single" w:color="000000" w:sz="4" w:space="0"/>
              <w:left w:val="single" w:color="000000" w:sz="4" w:space="0"/>
              <w:right w:val="single" w:color="auto"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医疗机构</w:t>
            </w:r>
          </w:p>
        </w:tc>
        <w:tc>
          <w:tcPr>
            <w:tcW w:w="73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2527"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一级医院</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61.8</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21.2</w:t>
            </w:r>
          </w:p>
        </w:tc>
      </w:tr>
      <w:tr>
        <w:tblPrEx>
          <w:tblLayout w:type="fixed"/>
          <w:tblCellMar>
            <w:top w:w="0" w:type="dxa"/>
            <w:left w:w="0" w:type="dxa"/>
            <w:bottom w:w="0" w:type="dxa"/>
            <w:right w:w="0" w:type="dxa"/>
          </w:tblCellMar>
        </w:tblPrEx>
        <w:trPr>
          <w:trHeight w:val="454" w:hRule="exact"/>
        </w:trPr>
        <w:tc>
          <w:tcPr>
            <w:tcW w:w="2529" w:type="dxa"/>
            <w:vMerge w:val="continue"/>
            <w:tcBorders>
              <w:left w:val="single" w:color="000000" w:sz="4" w:space="0"/>
              <w:right w:val="single" w:color="auto"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73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2527"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二级医院</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124.8</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43.2</w:t>
            </w:r>
          </w:p>
        </w:tc>
      </w:tr>
      <w:tr>
        <w:tblPrEx>
          <w:tblLayout w:type="fixed"/>
          <w:tblCellMar>
            <w:top w:w="0" w:type="dxa"/>
            <w:left w:w="0" w:type="dxa"/>
            <w:bottom w:w="0" w:type="dxa"/>
            <w:right w:w="0" w:type="dxa"/>
          </w:tblCellMar>
        </w:tblPrEx>
        <w:trPr>
          <w:trHeight w:val="454" w:hRule="exact"/>
        </w:trPr>
        <w:tc>
          <w:tcPr>
            <w:tcW w:w="2529" w:type="dxa"/>
            <w:vMerge w:val="continue"/>
            <w:tcBorders>
              <w:left w:val="single" w:color="000000" w:sz="4" w:space="0"/>
              <w:bottom w:val="single" w:color="000000" w:sz="4" w:space="0"/>
              <w:right w:val="single" w:color="auto"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73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2527"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三级医院</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184.8</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129.4</w:t>
            </w:r>
          </w:p>
        </w:tc>
      </w:tr>
      <w:tr>
        <w:tblPrEx>
          <w:tblLayout w:type="fixed"/>
          <w:tblCellMar>
            <w:top w:w="0" w:type="dxa"/>
            <w:left w:w="0" w:type="dxa"/>
            <w:bottom w:w="0" w:type="dxa"/>
            <w:right w:w="0" w:type="dxa"/>
          </w:tblCellMar>
        </w:tblPrEx>
        <w:trPr>
          <w:trHeight w:val="454" w:hRule="exact"/>
        </w:trPr>
        <w:tc>
          <w:tcPr>
            <w:tcW w:w="2529" w:type="dxa"/>
            <w:vMerge w:val="restart"/>
            <w:tcBorders>
              <w:top w:val="single" w:color="000000" w:sz="4" w:space="0"/>
              <w:left w:val="single" w:color="000000" w:sz="4" w:space="0"/>
              <w:right w:val="single" w:color="auto"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教育机构</w:t>
            </w:r>
          </w:p>
        </w:tc>
        <w:tc>
          <w:tcPr>
            <w:tcW w:w="73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2527"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高等教育</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41.8</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17.4</w:t>
            </w:r>
          </w:p>
        </w:tc>
      </w:tr>
      <w:tr>
        <w:tblPrEx>
          <w:tblLayout w:type="fixed"/>
          <w:tblCellMar>
            <w:top w:w="0" w:type="dxa"/>
            <w:left w:w="0" w:type="dxa"/>
            <w:bottom w:w="0" w:type="dxa"/>
            <w:right w:w="0" w:type="dxa"/>
          </w:tblCellMar>
        </w:tblPrEx>
        <w:trPr>
          <w:trHeight w:val="454" w:hRule="exact"/>
        </w:trPr>
        <w:tc>
          <w:tcPr>
            <w:tcW w:w="2529" w:type="dxa"/>
            <w:vMerge w:val="continue"/>
            <w:tcBorders>
              <w:left w:val="single" w:color="000000" w:sz="4" w:space="0"/>
              <w:right w:val="single" w:color="auto"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73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2527"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中等教育</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32.3</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10.2</w:t>
            </w:r>
          </w:p>
        </w:tc>
      </w:tr>
      <w:tr>
        <w:tblPrEx>
          <w:tblLayout w:type="fixed"/>
          <w:tblCellMar>
            <w:top w:w="0" w:type="dxa"/>
            <w:left w:w="0" w:type="dxa"/>
            <w:bottom w:w="0" w:type="dxa"/>
            <w:right w:w="0" w:type="dxa"/>
          </w:tblCellMar>
        </w:tblPrEx>
        <w:trPr>
          <w:trHeight w:val="454" w:hRule="exact"/>
        </w:trPr>
        <w:tc>
          <w:tcPr>
            <w:tcW w:w="2529" w:type="dxa"/>
            <w:vMerge w:val="continue"/>
            <w:tcBorders>
              <w:left w:val="single" w:color="000000" w:sz="4" w:space="0"/>
              <w:right w:val="single" w:color="auto"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73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2527"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初等教育</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25.8</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8.2</w:t>
            </w:r>
          </w:p>
        </w:tc>
      </w:tr>
      <w:tr>
        <w:tblPrEx>
          <w:tblLayout w:type="fixed"/>
          <w:tblCellMar>
            <w:top w:w="0" w:type="dxa"/>
            <w:left w:w="0" w:type="dxa"/>
            <w:bottom w:w="0" w:type="dxa"/>
            <w:right w:w="0" w:type="dxa"/>
          </w:tblCellMar>
        </w:tblPrEx>
        <w:trPr>
          <w:trHeight w:val="454" w:hRule="exact"/>
        </w:trPr>
        <w:tc>
          <w:tcPr>
            <w:tcW w:w="2529" w:type="dxa"/>
            <w:vMerge w:val="continue"/>
            <w:tcBorders>
              <w:left w:val="single" w:color="000000" w:sz="4" w:space="0"/>
              <w:right w:val="single" w:color="auto"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73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2527"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学前教育</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24.4</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7.5</w:t>
            </w:r>
          </w:p>
        </w:tc>
      </w:tr>
      <w:tr>
        <w:tblPrEx>
          <w:tblLayout w:type="fixed"/>
          <w:tblCellMar>
            <w:top w:w="0" w:type="dxa"/>
            <w:left w:w="0" w:type="dxa"/>
            <w:bottom w:w="0" w:type="dxa"/>
            <w:right w:w="0" w:type="dxa"/>
          </w:tblCellMar>
        </w:tblPrEx>
        <w:trPr>
          <w:trHeight w:val="454" w:hRule="exact"/>
        </w:trPr>
        <w:tc>
          <w:tcPr>
            <w:tcW w:w="2529" w:type="dxa"/>
            <w:vMerge w:val="continue"/>
            <w:tcBorders>
              <w:left w:val="single" w:color="000000" w:sz="4" w:space="0"/>
              <w:bottom w:val="single" w:color="000000" w:sz="4" w:space="0"/>
              <w:right w:val="single" w:color="auto"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73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2527"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其他教育</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11.2</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6.2</w:t>
            </w:r>
          </w:p>
        </w:tc>
      </w:tr>
      <w:bookmarkEnd w:id="263"/>
    </w:tbl>
    <w:p>
      <w:pPr>
        <w:spacing w:line="240" w:lineRule="auto"/>
        <w:ind w:firstLine="0" w:firstLineChars="0"/>
        <w:rPr>
          <w:color w:val="auto"/>
          <w:sz w:val="21"/>
          <w:szCs w:val="21"/>
        </w:rPr>
      </w:pPr>
      <w:r>
        <w:rPr>
          <w:rFonts w:hint="eastAsia"/>
          <w:color w:val="auto"/>
          <w:sz w:val="21"/>
          <w:szCs w:val="21"/>
        </w:rPr>
        <w:t>说明：1、根据《民用建筑能耗标准》（GBT51161-2016），公共建筑按规定分为A类或B类：可通过开启外窗方式利用自然通风达到室内温度舒适要求，从而减少空调系统运行时间,减少能源消耗的公共建筑应为A类公共建筑；因建筑功能、规模等限制或受建筑物所在周边环境的制约，不能通过开启外窗方式利用自然通风，而需常年依靠机械通风和空调系统维持室内温度舒适要求的公共建筑应为B类公共建筑。</w:t>
      </w:r>
    </w:p>
    <w:p>
      <w:pPr>
        <w:spacing w:line="240" w:lineRule="auto"/>
        <w:ind w:firstLine="0" w:firstLineChars="0"/>
        <w:rPr>
          <w:color w:val="auto"/>
          <w:sz w:val="21"/>
          <w:szCs w:val="21"/>
        </w:rPr>
      </w:pPr>
      <w:r>
        <w:rPr>
          <w:rFonts w:hint="eastAsia"/>
          <w:color w:val="auto"/>
          <w:sz w:val="21"/>
          <w:szCs w:val="21"/>
        </w:rPr>
        <w:t>2、采用区域供冷技术建筑不在本表要求内。</w:t>
      </w:r>
    </w:p>
    <w:p>
      <w:pPr>
        <w:spacing w:line="240" w:lineRule="auto"/>
        <w:ind w:firstLine="0" w:firstLineChars="0"/>
        <w:rPr>
          <w:color w:val="auto"/>
          <w:sz w:val="21"/>
          <w:szCs w:val="21"/>
        </w:rPr>
      </w:pPr>
    </w:p>
    <w:p>
      <w:pPr>
        <w:pStyle w:val="4"/>
        <w:rPr>
          <w:color w:val="auto"/>
        </w:rPr>
      </w:pPr>
      <w:bookmarkStart w:id="266" w:name="_Toc8099"/>
      <w:r>
        <w:rPr>
          <w:rFonts w:hint="eastAsia"/>
          <w:color w:val="auto"/>
        </w:rPr>
        <w:t>5.4.2拓展绿色建筑实施广度深度</w:t>
      </w:r>
      <w:bookmarkEnd w:id="266"/>
    </w:p>
    <w:p>
      <w:pPr>
        <w:rPr>
          <w:color w:val="auto"/>
        </w:rPr>
      </w:pPr>
      <w:r>
        <w:rPr>
          <w:rFonts w:hint="eastAsia"/>
          <w:color w:val="auto"/>
        </w:rPr>
        <w:t>持续加快绿色建筑向全寿命周期实施深度转化，从低星级绿色建筑向高星级转变。重点推进沿海区域的高星级绿色建筑发展。</w:t>
      </w:r>
    </w:p>
    <w:p>
      <w:pPr>
        <w:numPr>
          <w:ilvl w:val="0"/>
          <w:numId w:val="10"/>
        </w:numPr>
        <w:rPr>
          <w:color w:val="auto"/>
        </w:rPr>
      </w:pPr>
      <w:r>
        <w:rPr>
          <w:rFonts w:hint="eastAsia"/>
          <w:color w:val="auto"/>
        </w:rPr>
        <w:t>海棠湾、亚龙湾、大三亚湾（包含大东海、三亚湾、红塘湾和南山一带）、崖州湾等区域，以及崖州湾科技城、中央商务区、海棠湾国家海岸休闲园区等三大园区，新(改、扩)建的单体建筑面积5000平方米及以上的，或项目总建筑面积2万平方米及以上的宾馆、饭店、商场、写字楼等公共建筑，应执行绿色建筑标准，其中单体建筑面积2万平方米及以上的应执行高星级绿色建筑标准。</w:t>
      </w:r>
      <w:r>
        <w:rPr>
          <w:rStyle w:val="57"/>
          <w:rFonts w:hint="eastAsia"/>
          <w:color w:val="auto"/>
        </w:rPr>
        <w:footnoteReference w:id="7"/>
      </w:r>
    </w:p>
    <w:p>
      <w:pPr>
        <w:numPr>
          <w:ilvl w:val="0"/>
          <w:numId w:val="10"/>
        </w:numPr>
        <w:rPr>
          <w:color w:val="auto"/>
        </w:rPr>
      </w:pPr>
      <w:r>
        <w:rPr>
          <w:rFonts w:hint="eastAsia"/>
          <w:color w:val="auto"/>
        </w:rPr>
        <w:t>崖州湾科技城、中央商务区、海棠湾国家海岸休闲园区等三大重点园区，政府投资项目及新建建筑面积</w:t>
      </w:r>
      <w:bookmarkStart w:id="267" w:name="_Hlk53408127"/>
      <w:r>
        <w:rPr>
          <w:rFonts w:hint="eastAsia"/>
          <w:color w:val="auto"/>
        </w:rPr>
        <w:t>10万平方米以上的住宅小区</w:t>
      </w:r>
      <w:bookmarkEnd w:id="267"/>
      <w:r>
        <w:rPr>
          <w:rFonts w:hint="eastAsia"/>
          <w:color w:val="auto"/>
        </w:rPr>
        <w:t>应执行高星级绿色建筑标准。</w:t>
      </w:r>
    </w:p>
    <w:p>
      <w:pPr>
        <w:pStyle w:val="4"/>
        <w:rPr>
          <w:color w:val="auto"/>
        </w:rPr>
      </w:pPr>
      <w:bookmarkStart w:id="268" w:name="_Toc11319"/>
      <w:r>
        <w:rPr>
          <w:rFonts w:hint="eastAsia"/>
          <w:color w:val="auto"/>
        </w:rPr>
        <w:t>5.4.3</w:t>
      </w:r>
      <w:r>
        <w:rPr>
          <w:color w:val="auto"/>
        </w:rPr>
        <w:t>积极推进绿色</w:t>
      </w:r>
      <w:r>
        <w:rPr>
          <w:rFonts w:hint="eastAsia"/>
          <w:color w:val="auto"/>
        </w:rPr>
        <w:t>生态片区</w:t>
      </w:r>
      <w:r>
        <w:rPr>
          <w:color w:val="auto"/>
        </w:rPr>
        <w:t>建设</w:t>
      </w:r>
      <w:bookmarkEnd w:id="268"/>
    </w:p>
    <w:p>
      <w:pPr>
        <w:rPr>
          <w:color w:val="auto"/>
        </w:rPr>
      </w:pPr>
      <w:r>
        <w:rPr>
          <w:rFonts w:hint="eastAsia"/>
          <w:color w:val="auto"/>
        </w:rPr>
        <w:t>（1）用地面积大于4公顷或地上总建筑面积大于5万平方米的住宅小区应按绿色生态小区标准建设。绿色生态小区中20%以上建筑应按二星级及以上绿色建筑标准建设。</w:t>
      </w:r>
      <w:r>
        <w:rPr>
          <w:rFonts w:hint="eastAsia"/>
          <w:color w:val="auto"/>
          <w:vertAlign w:val="superscript"/>
        </w:rPr>
        <w:footnoteReference w:id="8"/>
      </w:r>
    </w:p>
    <w:p>
      <w:pPr>
        <w:rPr>
          <w:color w:val="auto"/>
        </w:rPr>
      </w:pPr>
      <w:r>
        <w:rPr>
          <w:rFonts w:hint="eastAsia"/>
          <w:color w:val="auto"/>
        </w:rPr>
        <w:t>（2）鼓励结合新区建设和旧城改造，对总规划用地面积3平方公里及以上的新建城市开发区、功能区、新城区等，按绿色生态城区的要求进行规划、设计、施工、运行。</w:t>
      </w:r>
      <w:r>
        <w:rPr>
          <w:rFonts w:hint="eastAsia"/>
          <w:color w:val="auto"/>
          <w:vertAlign w:val="superscript"/>
        </w:rPr>
        <w:footnoteReference w:id="9"/>
      </w:r>
    </w:p>
    <w:p>
      <w:pPr>
        <w:pStyle w:val="4"/>
        <w:rPr>
          <w:color w:val="auto"/>
        </w:rPr>
      </w:pPr>
      <w:bookmarkStart w:id="269" w:name="_Toc10132"/>
      <w:bookmarkStart w:id="270" w:name="_Toc2759"/>
      <w:r>
        <w:rPr>
          <w:rFonts w:hint="eastAsia"/>
          <w:color w:val="auto"/>
        </w:rPr>
        <w:t>5.4.4积极推进装配式建筑建设</w:t>
      </w:r>
      <w:bookmarkEnd w:id="269"/>
    </w:p>
    <w:p>
      <w:pPr>
        <w:rPr>
          <w:color w:val="auto"/>
        </w:rPr>
      </w:pPr>
      <w:r>
        <w:rPr>
          <w:rFonts w:hint="eastAsia"/>
          <w:color w:val="auto"/>
        </w:rPr>
        <w:t>新建商品住宅项目、政府投资的新建公共建筑以及社会投资总建筑面积3万平方米以上或单体建筑面积2万平方米以上的新建商业、办公等公共建筑项目，具备条件的全部采用装配式方式建造；</w:t>
      </w:r>
    </w:p>
    <w:p>
      <w:pPr>
        <w:pStyle w:val="4"/>
        <w:rPr>
          <w:color w:val="auto"/>
        </w:rPr>
      </w:pPr>
      <w:bookmarkStart w:id="271" w:name="_Toc16923"/>
      <w:r>
        <w:rPr>
          <w:color w:val="auto"/>
        </w:rPr>
        <w:t>5.</w:t>
      </w:r>
      <w:r>
        <w:rPr>
          <w:rFonts w:hint="eastAsia"/>
          <w:color w:val="auto"/>
        </w:rPr>
        <w:t>4.5</w:t>
      </w:r>
      <w:r>
        <w:rPr>
          <w:color w:val="auto"/>
        </w:rPr>
        <w:t>绿色建材推广应用</w:t>
      </w:r>
      <w:bookmarkEnd w:id="271"/>
    </w:p>
    <w:p>
      <w:pPr>
        <w:widowControl/>
        <w:spacing w:before="156" w:beforeLines="50"/>
        <w:jc w:val="left"/>
        <w:rPr>
          <w:rFonts w:cs="宋体"/>
          <w:color w:val="auto"/>
          <w:kern w:val="0"/>
        </w:rPr>
      </w:pPr>
      <w:r>
        <w:rPr>
          <w:rFonts w:hint="eastAsia" w:cs="宋体"/>
          <w:color w:val="auto"/>
          <w:kern w:val="0"/>
        </w:rPr>
        <w:t>重点推广新型墙体材料、高强度钢筋、高性能混凝土、预拌砂浆以及预制装配式建筑构部件等建材产品材料的工程应用。鼓励选用通过相关评价认证的绿色建材及符合国家绿色产品评价标准的绿色产品。加大对落后建材产业的淘汰力度，推动传统建材产业技术改造、转型升级，鼓励科研单位和生产企业开展绿色建材的研究和生产，鼓励企业研发产品申请绿色建材评价标识。</w:t>
      </w:r>
    </w:p>
    <w:p>
      <w:pPr>
        <w:pStyle w:val="4"/>
        <w:rPr>
          <w:color w:val="auto"/>
        </w:rPr>
      </w:pPr>
      <w:bookmarkStart w:id="272" w:name="_Toc15580"/>
      <w:r>
        <w:rPr>
          <w:rFonts w:hint="eastAsia"/>
          <w:color w:val="auto"/>
        </w:rPr>
        <w:t>5.4.6推进建筑信息化发展</w:t>
      </w:r>
      <w:bookmarkEnd w:id="272"/>
    </w:p>
    <w:p>
      <w:pPr>
        <w:rPr>
          <w:color w:val="auto"/>
        </w:rPr>
      </w:pPr>
      <w:r>
        <w:rPr>
          <w:rFonts w:hint="eastAsia" w:cs="宋体"/>
          <w:color w:val="auto"/>
          <w:kern w:val="0"/>
        </w:rPr>
        <w:t>在设计、生产、施工、验收、运营的全过程中，逐步推行以计算机技术、控制技术和通信技术为基础的数字化建造体系，推进基于BIM的多参与方协同工作模式，实现全过程的数字化交付和全生命期信息共享。</w:t>
      </w:r>
      <w:r>
        <w:rPr>
          <w:rFonts w:hint="eastAsia"/>
          <w:color w:val="auto"/>
        </w:rPr>
        <w:t>探索以政府主导、企业参与的方式建立基于BIM的数字化建设监管模式和基于模型的数字化审查流程，实现BIM技术在建设管理上的应用。</w:t>
      </w:r>
    </w:p>
    <w:p>
      <w:pPr>
        <w:widowControl/>
        <w:jc w:val="left"/>
        <w:rPr>
          <w:color w:val="auto"/>
        </w:rPr>
      </w:pPr>
      <w:r>
        <w:rPr>
          <w:rFonts w:hint="eastAsia"/>
          <w:color w:val="auto"/>
        </w:rPr>
        <w:t>在大型公共建筑和大片住宅区建设中推广BIM设计施工运营全过程技术应用。选择单体建筑面积大于2万平方米的技术复杂、管理协同要求高的工程开展应用示范。鼓励有条件的绿色生态城区（小区）成片推广BIM应用。</w:t>
      </w:r>
    </w:p>
    <w:p>
      <w:pPr>
        <w:pStyle w:val="3"/>
        <w:spacing w:before="156" w:after="156"/>
        <w:rPr>
          <w:color w:val="auto"/>
        </w:rPr>
      </w:pPr>
      <w:bookmarkStart w:id="273" w:name="_Toc23820"/>
      <w:r>
        <w:rPr>
          <w:rFonts w:hint="eastAsia"/>
          <w:color w:val="auto"/>
        </w:rPr>
        <w:t>5.5</w:t>
      </w:r>
      <w:r>
        <w:rPr>
          <w:color w:val="auto"/>
        </w:rPr>
        <w:t>推动节能运行管理</w:t>
      </w:r>
      <w:bookmarkEnd w:id="273"/>
    </w:p>
    <w:p>
      <w:pPr>
        <w:pStyle w:val="4"/>
        <w:rPr>
          <w:color w:val="auto"/>
        </w:rPr>
      </w:pPr>
      <w:bookmarkStart w:id="274" w:name="_Toc15577"/>
      <w:bookmarkStart w:id="275" w:name="_Toc494555800"/>
      <w:r>
        <w:rPr>
          <w:rFonts w:hint="eastAsia"/>
          <w:color w:val="auto"/>
        </w:rPr>
        <w:t>5.5.1完善能耗监测平台</w:t>
      </w:r>
      <w:bookmarkEnd w:id="274"/>
      <w:bookmarkEnd w:id="275"/>
    </w:p>
    <w:p>
      <w:pPr>
        <w:rPr>
          <w:color w:val="auto"/>
        </w:rPr>
      </w:pPr>
      <w:r>
        <w:rPr>
          <w:rFonts w:hint="eastAsia"/>
          <w:color w:val="auto"/>
        </w:rPr>
        <w:t>积极落实《海南省国家机关办公建筑和大型公共建筑能耗监测系统管理办法》相关要求，继续推进国家机关办公建筑以及大型公共建筑安装分项计量装置，连接省级能耗监测平台，进行建筑能耗数据的实时动态监测。</w:t>
      </w:r>
    </w:p>
    <w:p>
      <w:pPr>
        <w:rPr>
          <w:color w:val="auto"/>
        </w:rPr>
      </w:pPr>
      <w:r>
        <w:rPr>
          <w:rFonts w:hint="eastAsia"/>
          <w:color w:val="auto"/>
        </w:rPr>
        <w:t>对于已接入能耗监测平台的既有建筑改造和新建建筑，应制定年度工作计划，指导和监督监测平台和建筑项目做好日常运行维护、数据统计以及节能管理。应加强对能源统计数据的分析和管理，以为未来三亚能耗指标管控提供借鉴。</w:t>
      </w:r>
    </w:p>
    <w:p>
      <w:pPr>
        <w:pStyle w:val="4"/>
        <w:rPr>
          <w:color w:val="auto"/>
        </w:rPr>
      </w:pPr>
      <w:bookmarkStart w:id="276" w:name="_Toc18247"/>
      <w:r>
        <w:rPr>
          <w:rFonts w:hint="eastAsia"/>
          <w:color w:val="auto"/>
        </w:rPr>
        <w:t>5.5.2</w:t>
      </w:r>
      <w:r>
        <w:rPr>
          <w:color w:val="auto"/>
        </w:rPr>
        <w:t>加快既有建筑节能改造</w:t>
      </w:r>
      <w:bookmarkEnd w:id="270"/>
      <w:bookmarkEnd w:id="276"/>
    </w:p>
    <w:p>
      <w:pPr>
        <w:rPr>
          <w:color w:val="auto"/>
        </w:rPr>
      </w:pPr>
      <w:r>
        <w:rPr>
          <w:rFonts w:hint="eastAsia"/>
          <w:color w:val="auto"/>
        </w:rPr>
        <w:t>（1）以既有</w:t>
      </w:r>
      <w:r>
        <w:rPr>
          <w:color w:val="auto"/>
        </w:rPr>
        <w:t>政府机关办公建筑、大型</w:t>
      </w:r>
      <w:r>
        <w:rPr>
          <w:rFonts w:hint="eastAsia"/>
          <w:color w:val="auto"/>
        </w:rPr>
        <w:t>旅馆</w:t>
      </w:r>
      <w:r>
        <w:rPr>
          <w:color w:val="auto"/>
        </w:rPr>
        <w:t>和商场为重点，实现公共建筑节能监管全覆盖、实施公共建筑能耗限额制度。</w:t>
      </w:r>
    </w:p>
    <w:p>
      <w:pPr>
        <w:rPr>
          <w:color w:val="auto"/>
        </w:rPr>
      </w:pPr>
      <w:r>
        <w:rPr>
          <w:rFonts w:hint="eastAsia"/>
          <w:color w:val="auto"/>
        </w:rPr>
        <w:t>（2）将高于能耗定额或建筑用能设备不能满足使用要求（或已为淘汰产品的）并有节能改造潜力的政府机关办公建筑和大型公共建筑作为节能改造示范项目，其中建筑面积大于5000平米的政府办公建筑以及单体建筑面积大于10000平方米的公共建筑应实行既有建筑节能改造。对其空调、照明、设备和动力系统等进行能耗监测数据实时采集与分析，科学鉴定其高能耗因素，并进行有针对性的节能改造，</w:t>
      </w:r>
      <w:r>
        <w:rPr>
          <w:color w:val="auto"/>
        </w:rPr>
        <w:t>提高各类建筑整体用能效率。</w:t>
      </w:r>
    </w:p>
    <w:p>
      <w:pPr>
        <w:pStyle w:val="4"/>
        <w:rPr>
          <w:color w:val="auto"/>
        </w:rPr>
      </w:pPr>
      <w:bookmarkStart w:id="277" w:name="_Toc10668"/>
      <w:bookmarkStart w:id="278" w:name="_Toc9940"/>
      <w:r>
        <w:rPr>
          <w:rFonts w:hint="eastAsia"/>
          <w:color w:val="auto"/>
        </w:rPr>
        <w:t>5.5.3</w:t>
      </w:r>
      <w:r>
        <w:rPr>
          <w:color w:val="auto"/>
        </w:rPr>
        <w:t>推动</w:t>
      </w:r>
      <w:r>
        <w:rPr>
          <w:rFonts w:hint="eastAsia"/>
          <w:color w:val="auto"/>
        </w:rPr>
        <w:t>小区绿色化改造示范</w:t>
      </w:r>
      <w:bookmarkEnd w:id="277"/>
    </w:p>
    <w:bookmarkEnd w:id="278"/>
    <w:p>
      <w:pPr>
        <w:rPr>
          <w:color w:val="auto"/>
        </w:rPr>
      </w:pPr>
      <w:r>
        <w:rPr>
          <w:rFonts w:hint="eastAsia"/>
          <w:color w:val="auto"/>
        </w:rPr>
        <w:t>在旧城区改造过程中，选择1~2个具有改造需求的项目，对其进行建筑功能拓展、结构加固、遮阳设施、自然通风、绿色照明、可再生能源利用、海绵低影响设施、助老设施、环境综合整治等于一体的绿色化综合改造。</w:t>
      </w:r>
    </w:p>
    <w:p>
      <w:pPr>
        <w:pStyle w:val="3"/>
        <w:spacing w:before="156" w:after="156"/>
        <w:rPr>
          <w:color w:val="auto"/>
        </w:rPr>
      </w:pPr>
      <w:bookmarkStart w:id="279" w:name="_Toc16354"/>
      <w:bookmarkStart w:id="280" w:name="_Toc7295"/>
      <w:r>
        <w:rPr>
          <w:rFonts w:hint="eastAsia"/>
          <w:color w:val="auto"/>
        </w:rPr>
        <w:t>5.6推广可再生能源应用</w:t>
      </w:r>
      <w:bookmarkEnd w:id="279"/>
      <w:bookmarkEnd w:id="280"/>
    </w:p>
    <w:p>
      <w:pPr>
        <w:pStyle w:val="4"/>
        <w:rPr>
          <w:color w:val="auto"/>
        </w:rPr>
      </w:pPr>
      <w:bookmarkStart w:id="281" w:name="_Toc15805"/>
      <w:r>
        <w:rPr>
          <w:rFonts w:hint="eastAsia"/>
          <w:color w:val="auto"/>
        </w:rPr>
        <w:t xml:space="preserve">5.6.1 </w:t>
      </w:r>
      <w:r>
        <w:rPr>
          <w:color w:val="auto"/>
        </w:rPr>
        <w:t>继续发展太阳能</w:t>
      </w:r>
      <w:r>
        <w:rPr>
          <w:rFonts w:hint="eastAsia"/>
          <w:color w:val="auto"/>
        </w:rPr>
        <w:t>热水建筑应用</w:t>
      </w:r>
      <w:r>
        <w:rPr>
          <w:color w:val="auto"/>
        </w:rPr>
        <w:t>工程</w:t>
      </w:r>
      <w:bookmarkEnd w:id="281"/>
    </w:p>
    <w:p>
      <w:pPr>
        <w:rPr>
          <w:color w:val="auto"/>
        </w:rPr>
      </w:pPr>
      <w:r>
        <w:rPr>
          <w:rFonts w:hint="eastAsia"/>
          <w:color w:val="auto"/>
        </w:rPr>
        <w:t>12层以下（含12层）的有使用需求的新建建筑应当统一配建太阳能热水系统。识别现阶段三亚市可再生能源建筑热水应用的合理模式，提出应用实施路径，及时调整发展方向，不断探索以应用效果为基础、经济适用性强的多能互补可再生能源建筑热水应用模式。</w:t>
      </w:r>
    </w:p>
    <w:p>
      <w:pPr>
        <w:rPr>
          <w:color w:val="auto"/>
        </w:rPr>
      </w:pPr>
      <w:bookmarkStart w:id="282" w:name="_Toc494555809"/>
      <w:r>
        <w:rPr>
          <w:color w:val="auto"/>
        </w:rPr>
        <w:t>对有条件安装太阳能系统、有稳定热水需求的住宅建筑、新建宿舍、公寓、医院住院部和</w:t>
      </w:r>
      <w:r>
        <w:rPr>
          <w:rFonts w:hint="eastAsia"/>
          <w:color w:val="auto"/>
        </w:rPr>
        <w:t>旅馆</w:t>
      </w:r>
      <w:r>
        <w:rPr>
          <w:color w:val="auto"/>
        </w:rPr>
        <w:t>等建设项目，应按技术经济合理原则，推广安装太阳能热水系统。</w:t>
      </w:r>
    </w:p>
    <w:p>
      <w:pPr>
        <w:rPr>
          <w:color w:val="auto"/>
        </w:rPr>
      </w:pPr>
      <w:r>
        <w:rPr>
          <w:color w:val="auto"/>
        </w:rPr>
        <w:t>倡导既有建筑改造</w:t>
      </w:r>
      <w:r>
        <w:rPr>
          <w:rFonts w:hint="eastAsia"/>
          <w:color w:val="auto"/>
        </w:rPr>
        <w:t>采用</w:t>
      </w:r>
      <w:r>
        <w:rPr>
          <w:color w:val="auto"/>
        </w:rPr>
        <w:t>太阳能热水系统。鼓励采用集中集热、集中储热、分户</w:t>
      </w:r>
      <w:r>
        <w:rPr>
          <w:rFonts w:hint="eastAsia"/>
          <w:color w:val="auto"/>
        </w:rPr>
        <w:t>辅助</w:t>
      </w:r>
      <w:r>
        <w:rPr>
          <w:color w:val="auto"/>
        </w:rPr>
        <w:t>加热的太阳能热水系统</w:t>
      </w:r>
      <w:r>
        <w:rPr>
          <w:rFonts w:hint="eastAsia"/>
          <w:color w:val="auto"/>
        </w:rPr>
        <w:t>、空气源热泵辅助加热</w:t>
      </w:r>
      <w:r>
        <w:rPr>
          <w:color w:val="auto"/>
        </w:rPr>
        <w:t>及其它更符合实际需求的应用形式，</w:t>
      </w:r>
      <w:bookmarkStart w:id="283" w:name="OLE_LINK20"/>
      <w:bookmarkStart w:id="284" w:name="OLE_LINK22"/>
      <w:r>
        <w:rPr>
          <w:color w:val="auto"/>
        </w:rPr>
        <w:t>促进</w:t>
      </w:r>
      <w:bookmarkStart w:id="285" w:name="OLE_LINK21"/>
      <w:bookmarkEnd w:id="283"/>
      <w:r>
        <w:rPr>
          <w:color w:val="auto"/>
        </w:rPr>
        <w:t>太阳能热水系统</w:t>
      </w:r>
      <w:bookmarkEnd w:id="285"/>
      <w:r>
        <w:rPr>
          <w:color w:val="auto"/>
        </w:rPr>
        <w:t>建筑应用稳步发展</w:t>
      </w:r>
      <w:bookmarkEnd w:id="284"/>
      <w:r>
        <w:rPr>
          <w:color w:val="auto"/>
        </w:rPr>
        <w:t>。</w:t>
      </w:r>
      <w:bookmarkStart w:id="286" w:name="_Toc15020"/>
    </w:p>
    <w:bookmarkEnd w:id="282"/>
    <w:bookmarkEnd w:id="286"/>
    <w:p>
      <w:pPr>
        <w:pStyle w:val="4"/>
        <w:rPr>
          <w:color w:val="auto"/>
        </w:rPr>
      </w:pPr>
      <w:bookmarkStart w:id="287" w:name="_Toc2311"/>
      <w:bookmarkStart w:id="288" w:name="_Toc494555814"/>
      <w:bookmarkStart w:id="289" w:name="_Toc22695"/>
      <w:bookmarkStart w:id="290" w:name="_Toc25087"/>
      <w:r>
        <w:rPr>
          <w:rFonts w:hint="eastAsia"/>
          <w:color w:val="auto"/>
        </w:rPr>
        <w:t>5.6.2</w:t>
      </w:r>
      <w:r>
        <w:rPr>
          <w:color w:val="auto"/>
        </w:rPr>
        <w:t>大力推进</w:t>
      </w:r>
      <w:r>
        <w:rPr>
          <w:rFonts w:hint="eastAsia"/>
          <w:color w:val="auto"/>
        </w:rPr>
        <w:t>太阳能</w:t>
      </w:r>
      <w:r>
        <w:rPr>
          <w:color w:val="auto"/>
        </w:rPr>
        <w:t>光伏</w:t>
      </w:r>
      <w:bookmarkEnd w:id="287"/>
      <w:bookmarkStart w:id="291" w:name="_Toc7894"/>
      <w:r>
        <w:rPr>
          <w:rFonts w:hint="eastAsia"/>
          <w:color w:val="auto"/>
        </w:rPr>
        <w:t>建筑一体化工程</w:t>
      </w:r>
      <w:bookmarkEnd w:id="288"/>
      <w:bookmarkEnd w:id="289"/>
    </w:p>
    <w:p>
      <w:pPr>
        <w:numPr>
          <w:ilvl w:val="0"/>
          <w:numId w:val="11"/>
        </w:numPr>
        <w:rPr>
          <w:color w:val="auto"/>
        </w:rPr>
      </w:pPr>
      <w:r>
        <w:rPr>
          <w:color w:val="auto"/>
        </w:rPr>
        <w:t>积极推进公共机构分布式光伏发电规模化应用</w:t>
      </w:r>
      <w:bookmarkEnd w:id="291"/>
      <w:r>
        <w:rPr>
          <w:rFonts w:hint="eastAsia"/>
          <w:color w:val="auto"/>
        </w:rPr>
        <w:t>，</w:t>
      </w:r>
      <w:r>
        <w:rPr>
          <w:color w:val="auto"/>
        </w:rPr>
        <w:t>充分利用</w:t>
      </w:r>
      <w:r>
        <w:rPr>
          <w:rFonts w:hint="eastAsia"/>
          <w:color w:val="auto"/>
        </w:rPr>
        <w:t>既有的</w:t>
      </w:r>
      <w:r>
        <w:rPr>
          <w:color w:val="auto"/>
        </w:rPr>
        <w:t>火车站、机场航站楼、综合交通枢纽屋顶、商业综合体、大型体育场馆、政府机关等公共机构推广应用分布式光伏发电</w:t>
      </w:r>
      <w:r>
        <w:rPr>
          <w:rFonts w:hint="eastAsia"/>
          <w:color w:val="auto"/>
        </w:rPr>
        <w:t>，对于新建的公共建筑应要求实施光伏建筑一体化，可采用“自发自用、余电上网或全额上网”发电模式，引领三亚市建筑光伏发电的全面推动</w:t>
      </w:r>
      <w:r>
        <w:rPr>
          <w:color w:val="auto"/>
        </w:rPr>
        <w:t>。</w:t>
      </w:r>
      <w:bookmarkStart w:id="292" w:name="_Toc1443"/>
    </w:p>
    <w:p>
      <w:pPr>
        <w:numPr>
          <w:ilvl w:val="0"/>
          <w:numId w:val="11"/>
        </w:numPr>
        <w:rPr>
          <w:color w:val="auto"/>
        </w:rPr>
      </w:pPr>
      <w:r>
        <w:rPr>
          <w:color w:val="auto"/>
        </w:rPr>
        <w:t>积极推进产业园区光伏发电规模化应用</w:t>
      </w:r>
      <w:bookmarkEnd w:id="292"/>
      <w:r>
        <w:rPr>
          <w:color w:val="auto"/>
        </w:rPr>
        <w:t>，大力支持具备稳定用电负荷、集中连片屋顶资源丰富、所发电力大部分可自行消化的各园区建设规模化分布式光伏发电系统</w:t>
      </w:r>
      <w:r>
        <w:rPr>
          <w:rFonts w:hint="eastAsia"/>
          <w:color w:val="auto"/>
        </w:rPr>
        <w:t>，采用“自发自用、余电上网或全额上网”发电模式，推动清洁能源的落实发展。</w:t>
      </w:r>
    </w:p>
    <w:p>
      <w:pPr>
        <w:numPr>
          <w:ilvl w:val="0"/>
          <w:numId w:val="11"/>
        </w:numPr>
        <w:rPr>
          <w:color w:val="auto"/>
        </w:rPr>
      </w:pPr>
      <w:r>
        <w:rPr>
          <w:rFonts w:hint="eastAsia"/>
          <w:color w:val="auto"/>
        </w:rPr>
        <w:t>积极推进居住建筑规模化应用分布式光伏发电系统。新建居住建筑、既有居住建筑在建筑设计和旧建筑改造中统筹实施光伏建筑一体化。对于常住人口不多、热水需求不大、十二层以上高层住宅项目可通过安装太阳能光伏系统替代太阳能热水系统。光伏系统的装机容量应满足该栋楼地下车库照明需求。</w:t>
      </w:r>
    </w:p>
    <w:p>
      <w:pPr>
        <w:numPr>
          <w:ilvl w:val="0"/>
          <w:numId w:val="11"/>
        </w:numPr>
        <w:rPr>
          <w:color w:val="auto"/>
        </w:rPr>
      </w:pPr>
      <w:bookmarkStart w:id="293" w:name="_Toc425757463"/>
      <w:r>
        <w:rPr>
          <w:color w:val="auto"/>
        </w:rPr>
        <w:t>在农村地区和小城镇，推进居民屋顶光伏工程，结合新型城镇化</w:t>
      </w:r>
      <w:r>
        <w:rPr>
          <w:rFonts w:hint="eastAsia"/>
          <w:color w:val="auto"/>
        </w:rPr>
        <w:t>、</w:t>
      </w:r>
      <w:r>
        <w:rPr>
          <w:color w:val="auto"/>
        </w:rPr>
        <w:t>美丽乡村</w:t>
      </w:r>
      <w:r>
        <w:rPr>
          <w:rFonts w:hint="eastAsia"/>
          <w:color w:val="auto"/>
        </w:rPr>
        <w:t>、扶贫工程</w:t>
      </w:r>
      <w:r>
        <w:rPr>
          <w:color w:val="auto"/>
        </w:rPr>
        <w:t>建设等规划</w:t>
      </w:r>
      <w:r>
        <w:rPr>
          <w:rFonts w:hint="eastAsia"/>
          <w:color w:val="auto"/>
        </w:rPr>
        <w:t>，</w:t>
      </w:r>
      <w:r>
        <w:rPr>
          <w:color w:val="auto"/>
        </w:rPr>
        <w:t>开展村镇级光伏集中应用、农居光伏连片开发改造，</w:t>
      </w:r>
      <w:r>
        <w:rPr>
          <w:rFonts w:hint="eastAsia"/>
          <w:color w:val="auto"/>
        </w:rPr>
        <w:t>根据实际情况</w:t>
      </w:r>
      <w:r>
        <w:rPr>
          <w:color w:val="auto"/>
        </w:rPr>
        <w:t>采取</w:t>
      </w:r>
      <w:r>
        <w:rPr>
          <w:rFonts w:hint="eastAsia"/>
          <w:color w:val="auto"/>
        </w:rPr>
        <w:t>适宜的</w:t>
      </w:r>
      <w:r>
        <w:rPr>
          <w:color w:val="auto"/>
        </w:rPr>
        <w:t>发电模式，促进村镇清洁能源的应用发展</w:t>
      </w:r>
      <w:r>
        <w:rPr>
          <w:rFonts w:hint="eastAsia"/>
          <w:color w:val="auto"/>
        </w:rPr>
        <w:t>，改善贫困村（户）的经济收入</w:t>
      </w:r>
      <w:r>
        <w:rPr>
          <w:color w:val="auto"/>
        </w:rPr>
        <w:t>。</w:t>
      </w:r>
      <w:bookmarkEnd w:id="293"/>
    </w:p>
    <w:p>
      <w:pPr>
        <w:pStyle w:val="4"/>
        <w:rPr>
          <w:color w:val="auto"/>
        </w:rPr>
      </w:pPr>
      <w:bookmarkStart w:id="294" w:name="_Toc2218"/>
      <w:r>
        <w:rPr>
          <w:rFonts w:hint="eastAsia"/>
          <w:color w:val="auto"/>
        </w:rPr>
        <w:t>5.6.3可再生能源应用</w:t>
      </w:r>
      <w:bookmarkEnd w:id="294"/>
    </w:p>
    <w:p>
      <w:pPr>
        <w:rPr>
          <w:rFonts w:eastAsia="仿宋" w:cs="宋体"/>
          <w:color w:val="auto"/>
          <w:kern w:val="0"/>
        </w:rPr>
      </w:pPr>
      <w:r>
        <w:rPr>
          <w:rFonts w:hint="eastAsia"/>
          <w:color w:val="auto"/>
        </w:rPr>
        <w:t>积极探索适宜本地的可再生能源应用新模式，</w:t>
      </w:r>
      <w:r>
        <w:rPr>
          <w:color w:val="auto"/>
        </w:rPr>
        <w:t>利用风能、太阳能、水能、天然气等资源组合优势，</w:t>
      </w:r>
      <w:r>
        <w:rPr>
          <w:rFonts w:hint="eastAsia"/>
          <w:color w:val="auto"/>
        </w:rPr>
        <w:t>鼓励发展空气源热泵制备热水等技术，</w:t>
      </w:r>
      <w:r>
        <w:rPr>
          <w:color w:val="auto"/>
        </w:rPr>
        <w:t>积极推进储能等技术研发应用，</w:t>
      </w:r>
      <w:r>
        <w:rPr>
          <w:rFonts w:hint="eastAsia"/>
          <w:color w:val="auto"/>
        </w:rPr>
        <w:t>拓展可再生能源建筑应用体系，鼓励</w:t>
      </w:r>
      <w:r>
        <w:rPr>
          <w:color w:val="auto"/>
        </w:rPr>
        <w:t>多能互补</w:t>
      </w:r>
      <w:r>
        <w:rPr>
          <w:rFonts w:hint="eastAsia"/>
          <w:color w:val="auto"/>
        </w:rPr>
        <w:t>应用模式</w:t>
      </w:r>
      <w:r>
        <w:rPr>
          <w:color w:val="auto"/>
        </w:rPr>
        <w:t>，推进</w:t>
      </w:r>
      <w:r>
        <w:rPr>
          <w:rFonts w:hint="eastAsia"/>
          <w:color w:val="auto"/>
        </w:rPr>
        <w:t>三亚市</w:t>
      </w:r>
      <w:r>
        <w:rPr>
          <w:color w:val="auto"/>
        </w:rPr>
        <w:t>能源结构优化</w:t>
      </w:r>
      <w:r>
        <w:rPr>
          <w:rFonts w:hint="eastAsia" w:eastAsia="仿宋" w:cs="宋体"/>
          <w:color w:val="auto"/>
          <w:kern w:val="0"/>
        </w:rPr>
        <w:t>。</w:t>
      </w:r>
    </w:p>
    <w:bookmarkEnd w:id="290"/>
    <w:p>
      <w:pPr>
        <w:pStyle w:val="3"/>
        <w:spacing w:before="156" w:after="156"/>
        <w:rPr>
          <w:color w:val="auto"/>
        </w:rPr>
      </w:pPr>
      <w:bookmarkStart w:id="295" w:name="_Toc31691"/>
      <w:r>
        <w:rPr>
          <w:rFonts w:hint="eastAsia"/>
          <w:color w:val="auto"/>
        </w:rPr>
        <w:t>5</w:t>
      </w:r>
      <w:r>
        <w:rPr>
          <w:color w:val="auto"/>
        </w:rPr>
        <w:t>.7</w:t>
      </w:r>
      <w:r>
        <w:rPr>
          <w:rFonts w:hint="eastAsia"/>
          <w:color w:val="auto"/>
        </w:rPr>
        <w:t>加强监管体系建设</w:t>
      </w:r>
      <w:bookmarkEnd w:id="295"/>
    </w:p>
    <w:p>
      <w:pPr>
        <w:pStyle w:val="4"/>
        <w:rPr>
          <w:color w:val="auto"/>
        </w:rPr>
      </w:pPr>
      <w:bookmarkStart w:id="296" w:name="_Toc18592"/>
      <w:r>
        <w:rPr>
          <w:rFonts w:hint="eastAsia"/>
          <w:color w:val="auto"/>
        </w:rPr>
        <w:t>5</w:t>
      </w:r>
      <w:r>
        <w:rPr>
          <w:color w:val="auto"/>
        </w:rPr>
        <w:t>.7.1</w:t>
      </w:r>
      <w:r>
        <w:rPr>
          <w:rFonts w:hint="eastAsia"/>
          <w:color w:val="auto"/>
        </w:rPr>
        <w:t>形成闭合监管体系</w:t>
      </w:r>
      <w:bookmarkEnd w:id="296"/>
    </w:p>
    <w:p>
      <w:pPr>
        <w:rPr>
          <w:color w:val="auto"/>
        </w:rPr>
      </w:pPr>
      <w:r>
        <w:rPr>
          <w:rFonts w:hint="eastAsia"/>
          <w:color w:val="auto"/>
        </w:rPr>
        <w:t>建立与工程建设项目审批制度改革相适应的监管体系，明确监管的主要内容、方式和时间要求等。</w:t>
      </w:r>
    </w:p>
    <w:p>
      <w:pPr>
        <w:rPr>
          <w:color w:val="auto"/>
        </w:rPr>
      </w:pPr>
      <w:r>
        <w:rPr>
          <w:rFonts w:hint="eastAsia"/>
          <w:color w:val="auto"/>
        </w:rPr>
        <w:t>在建筑节能上，三亚已经形成了从设计、施工到竣工验收全过程的监管体系，在项目运行阶段，还应进一步完善能耗监测和监管体系。</w:t>
      </w:r>
    </w:p>
    <w:p>
      <w:pPr>
        <w:rPr>
          <w:color w:val="auto"/>
        </w:rPr>
      </w:pPr>
      <w:r>
        <w:rPr>
          <w:rFonts w:hint="eastAsia"/>
          <w:color w:val="auto"/>
        </w:rPr>
        <w:t>在绿色建筑上，应严格执行相关技术标准，在设计、施工、验收、运营阶段规范绿色建筑建设过程中的管理，并将绿色建筑纳入验收体系，落实绿色建筑相关技术措施。鼓励项目申报高星级绿色建筑标识。　</w:t>
      </w:r>
      <w:bookmarkStart w:id="297" w:name="_Toc21974"/>
      <w:bookmarkStart w:id="298" w:name="_Toc1519"/>
      <w:bookmarkStart w:id="299" w:name="_Toc28898"/>
      <w:bookmarkStart w:id="300" w:name="_Toc6567"/>
    </w:p>
    <w:p>
      <w:pPr>
        <w:pStyle w:val="4"/>
        <w:rPr>
          <w:color w:val="auto"/>
        </w:rPr>
      </w:pPr>
      <w:bookmarkStart w:id="301" w:name="_Toc8298"/>
      <w:r>
        <w:rPr>
          <w:color w:val="auto"/>
        </w:rPr>
        <w:t>5.7.2</w:t>
      </w:r>
      <w:r>
        <w:rPr>
          <w:rFonts w:hint="eastAsia"/>
          <w:color w:val="auto"/>
        </w:rPr>
        <w:t>加强事中事后监管</w:t>
      </w:r>
      <w:bookmarkEnd w:id="301"/>
    </w:p>
    <w:p>
      <w:pPr>
        <w:rPr>
          <w:color w:val="auto"/>
        </w:rPr>
      </w:pPr>
      <w:r>
        <w:rPr>
          <w:rFonts w:hint="eastAsia"/>
          <w:color w:val="auto"/>
        </w:rPr>
        <w:t>制定并实施加强事中事后监管的相关制度和监督检查办法，推行“双随机、一公开”的监管模式，并根据改革实施情况进行完善。</w:t>
      </w:r>
    </w:p>
    <w:p>
      <w:pPr>
        <w:rPr>
          <w:color w:val="auto"/>
        </w:rPr>
      </w:pPr>
      <w:r>
        <w:rPr>
          <w:rFonts w:hint="eastAsia"/>
          <w:color w:val="auto"/>
        </w:rPr>
        <w:t>对于实行告知承诺制的审批事项，依法制定监督管理办法，在规定时间内对申请人履行承诺的情况进行检查，对申请人未履行承诺的，依法依规撤销行政审批决定并追究申请人的相应责任。</w:t>
      </w:r>
    </w:p>
    <w:p>
      <w:pPr>
        <w:pStyle w:val="4"/>
        <w:rPr>
          <w:color w:val="auto"/>
        </w:rPr>
      </w:pPr>
      <w:bookmarkStart w:id="302" w:name="_Toc2910"/>
      <w:r>
        <w:rPr>
          <w:rFonts w:hint="eastAsia"/>
          <w:color w:val="auto"/>
        </w:rPr>
        <w:t>5</w:t>
      </w:r>
      <w:r>
        <w:rPr>
          <w:color w:val="auto"/>
        </w:rPr>
        <w:t>.7.3</w:t>
      </w:r>
      <w:r>
        <w:rPr>
          <w:rFonts w:hint="eastAsia"/>
          <w:color w:val="auto"/>
        </w:rPr>
        <w:t>加强信用体系建设</w:t>
      </w:r>
      <w:bookmarkEnd w:id="302"/>
    </w:p>
    <w:p>
      <w:pPr>
        <w:rPr>
          <w:color w:val="auto"/>
        </w:rPr>
      </w:pPr>
      <w:r>
        <w:rPr>
          <w:rFonts w:hint="eastAsia"/>
          <w:color w:val="auto"/>
        </w:rPr>
        <w:t>建立并实施红黑名单制度，明确应当列入红黑名单的情形。</w:t>
      </w:r>
    </w:p>
    <w:p>
      <w:pPr>
        <w:rPr>
          <w:color w:val="auto"/>
        </w:rPr>
      </w:pPr>
      <w:r>
        <w:rPr>
          <w:rFonts w:hint="eastAsia"/>
          <w:color w:val="auto"/>
        </w:rPr>
        <w:t>建立并完善信用监管体系，依托工程建设项目审批管理系统，建立工程建设项目审批信用信息平台，将企业和从业人员违法违规、不履行承诺的不良行为向社会公开。构建“一处失信、处处受限”的联合惩戒机制。</w:t>
      </w:r>
    </w:p>
    <w:p>
      <w:pPr>
        <w:pStyle w:val="2"/>
        <w:spacing w:before="156" w:after="156"/>
        <w:rPr>
          <w:color w:val="auto"/>
        </w:rPr>
      </w:pPr>
      <w:r>
        <w:rPr>
          <w:color w:val="auto"/>
        </w:rPr>
        <w:br w:type="page"/>
      </w:r>
      <w:bookmarkStart w:id="303" w:name="_Toc11256"/>
      <w:r>
        <w:rPr>
          <w:rFonts w:hint="eastAsia"/>
          <w:color w:val="auto"/>
        </w:rPr>
        <w:t>第六章 结论及建议</w:t>
      </w:r>
      <w:bookmarkEnd w:id="297"/>
      <w:bookmarkEnd w:id="298"/>
      <w:bookmarkEnd w:id="303"/>
    </w:p>
    <w:p>
      <w:pPr>
        <w:pStyle w:val="3"/>
        <w:spacing w:before="156" w:after="156"/>
        <w:rPr>
          <w:color w:val="auto"/>
        </w:rPr>
      </w:pPr>
      <w:bookmarkStart w:id="304" w:name="_Toc15482"/>
      <w:bookmarkStart w:id="305" w:name="_Toc17279"/>
      <w:bookmarkStart w:id="306" w:name="_Toc18417"/>
      <w:r>
        <w:rPr>
          <w:color w:val="auto"/>
        </w:rPr>
        <w:t>6</w:t>
      </w:r>
      <w:r>
        <w:rPr>
          <w:rFonts w:hint="eastAsia"/>
          <w:color w:val="auto"/>
        </w:rPr>
        <w:t>.1 结论</w:t>
      </w:r>
      <w:bookmarkEnd w:id="304"/>
      <w:bookmarkEnd w:id="305"/>
      <w:bookmarkEnd w:id="306"/>
    </w:p>
    <w:p>
      <w:pPr>
        <w:ind w:firstLine="580"/>
        <w:rPr>
          <w:color w:val="auto"/>
          <w:spacing w:val="5"/>
        </w:rPr>
      </w:pPr>
      <w:r>
        <w:rPr>
          <w:color w:val="auto"/>
          <w:spacing w:val="5"/>
        </w:rPr>
        <w:t>为进一步深化项目审批方式改革，转变政府职能，简化审批环</w:t>
      </w:r>
      <w:r>
        <w:rPr>
          <w:color w:val="auto"/>
          <w:spacing w:val="4"/>
        </w:rPr>
        <w:t>节，</w:t>
      </w:r>
      <w:r>
        <w:rPr>
          <w:rFonts w:hint="eastAsia"/>
          <w:color w:val="auto"/>
          <w:spacing w:val="4"/>
        </w:rPr>
        <w:t>根据《国务院办公厅关于全面开展工程建设项目审批制度改革的实施意见》</w:t>
      </w:r>
      <w:r>
        <w:rPr>
          <w:rFonts w:hint="eastAsia"/>
          <w:color w:val="auto"/>
        </w:rPr>
        <w:t>（国办发〔2019〕11号）</w:t>
      </w:r>
      <w:r>
        <w:rPr>
          <w:rFonts w:hint="eastAsia"/>
          <w:color w:val="auto"/>
          <w:spacing w:val="4"/>
        </w:rPr>
        <w:t>精神</w:t>
      </w:r>
      <w:r>
        <w:rPr>
          <w:rFonts w:hint="eastAsia"/>
          <w:color w:val="auto"/>
        </w:rPr>
        <w:t>、《海南省人民政府关于印发〈海南省工程建设项目审批制度改革实施方案〉和〈海南省建设工程竣工联合验收实施方案〉的通知》（琼府〔2019〕28号）要求、《三亚市人民政府关于印发〈三亚市工程建设项目审批制度改革实施方案〉的通知》（三府〔2019〕214号）</w:t>
      </w:r>
      <w:r>
        <w:rPr>
          <w:color w:val="auto"/>
          <w:spacing w:val="6"/>
        </w:rPr>
        <w:t>等文</w:t>
      </w:r>
      <w:r>
        <w:rPr>
          <w:color w:val="auto"/>
        </w:rPr>
        <w:t>件精神，</w:t>
      </w:r>
      <w:r>
        <w:rPr>
          <w:color w:val="auto"/>
          <w:spacing w:val="5"/>
        </w:rPr>
        <w:t>为了进一步</w:t>
      </w:r>
      <w:r>
        <w:rPr>
          <w:color w:val="auto"/>
          <w:spacing w:val="4"/>
        </w:rPr>
        <w:t>提高</w:t>
      </w:r>
      <w:r>
        <w:rPr>
          <w:rFonts w:hint="eastAsia"/>
          <w:color w:val="auto"/>
          <w:spacing w:val="4"/>
        </w:rPr>
        <w:t>民用建筑</w:t>
      </w:r>
      <w:r>
        <w:rPr>
          <w:color w:val="auto"/>
          <w:spacing w:val="4"/>
        </w:rPr>
        <w:t>项目节能评估和审查工作效率，</w:t>
      </w:r>
      <w:r>
        <w:rPr>
          <w:color w:val="auto"/>
          <w:spacing w:val="5"/>
        </w:rPr>
        <w:t>简化节能审查环节，优化节能审查流程，</w:t>
      </w:r>
      <w:r>
        <w:rPr>
          <w:rFonts w:hint="eastAsia"/>
          <w:color w:val="auto"/>
          <w:spacing w:val="5"/>
        </w:rPr>
        <w:t>加强节能管控，三亚市住建局组织</w:t>
      </w:r>
      <w:r>
        <w:rPr>
          <w:color w:val="auto"/>
        </w:rPr>
        <w:t>开展</w:t>
      </w:r>
      <w:r>
        <w:rPr>
          <w:rFonts w:hint="eastAsia"/>
          <w:color w:val="auto"/>
        </w:rPr>
        <w:t>《三亚市民用建筑区域节能评估报告》编制</w:t>
      </w:r>
      <w:r>
        <w:rPr>
          <w:color w:val="auto"/>
        </w:rPr>
        <w:t>工作</w:t>
      </w:r>
      <w:r>
        <w:rPr>
          <w:color w:val="auto"/>
          <w:spacing w:val="5"/>
        </w:rPr>
        <w:t>。</w:t>
      </w:r>
      <w:r>
        <w:rPr>
          <w:rFonts w:hint="eastAsia"/>
          <w:color w:val="auto"/>
          <w:spacing w:val="5"/>
        </w:rPr>
        <w:t>结论如下：</w:t>
      </w:r>
    </w:p>
    <w:p>
      <w:pPr>
        <w:ind w:firstLine="562"/>
        <w:rPr>
          <w:b/>
          <w:bCs/>
        </w:rPr>
      </w:pPr>
      <w:r>
        <w:rPr>
          <w:b/>
          <w:bCs/>
        </w:rPr>
        <w:t>1</w:t>
      </w:r>
      <w:r>
        <w:rPr>
          <w:rFonts w:hint="eastAsia"/>
          <w:b/>
          <w:bCs/>
        </w:rPr>
        <w:t>基本完成区域节能工作目标</w:t>
      </w:r>
    </w:p>
    <w:p>
      <w:pPr>
        <w:rPr>
          <w:color w:val="auto"/>
        </w:rPr>
      </w:pPr>
      <w:r>
        <w:rPr>
          <w:rFonts w:hint="eastAsia"/>
          <w:color w:val="auto"/>
        </w:rPr>
        <w:t>截止</w:t>
      </w:r>
      <w:r>
        <w:rPr>
          <w:color w:val="auto"/>
        </w:rPr>
        <w:t>2020</w:t>
      </w:r>
      <w:r>
        <w:rPr>
          <w:rFonts w:hint="eastAsia"/>
          <w:color w:val="auto"/>
        </w:rPr>
        <w:t>年，三亚市区域节能工作目标基本完成，完成情况如下：</w:t>
      </w:r>
    </w:p>
    <w:p>
      <w:pPr>
        <w:numPr>
          <w:ilvl w:val="0"/>
          <w:numId w:val="12"/>
        </w:numPr>
        <w:rPr>
          <w:color w:val="auto"/>
        </w:rPr>
      </w:pPr>
      <w:r>
        <w:rPr>
          <w:rFonts w:hint="eastAsia"/>
          <w:color w:val="auto"/>
        </w:rPr>
        <w:t>实现新建建筑节能设计阶段达标100%，施工阶段达标100%。</w:t>
      </w:r>
    </w:p>
    <w:p>
      <w:pPr>
        <w:rPr>
          <w:color w:val="auto"/>
        </w:rPr>
      </w:pPr>
      <w:r>
        <w:rPr>
          <w:rFonts w:hint="eastAsia"/>
          <w:color w:val="auto"/>
        </w:rPr>
        <w:t>（2）新建大型公共建筑及重点用能建筑均强制建立用能监测系统。</w:t>
      </w:r>
    </w:p>
    <w:p>
      <w:pPr>
        <w:rPr>
          <w:color w:val="auto"/>
        </w:rPr>
      </w:pPr>
      <w:r>
        <w:rPr>
          <w:rFonts w:hint="eastAsia"/>
          <w:color w:val="auto"/>
        </w:rPr>
        <w:t>（3）贯彻落实国家、省市有关推进装配式建筑发展政策要求。至2020年下旬，我市建设工程项目“装配式建筑实施方案”通过专家评审49个，建筑总面积449万平方米，装配式建筑面积317万平方米。</w:t>
      </w:r>
    </w:p>
    <w:p>
      <w:pPr>
        <w:rPr>
          <w:color w:val="auto"/>
        </w:rPr>
      </w:pPr>
      <w:r>
        <w:rPr>
          <w:rFonts w:hint="eastAsia"/>
          <w:color w:val="auto"/>
        </w:rPr>
        <w:t>（4）规范可再生能源建筑应用。严格规范我市新建、改扩建建筑太阳能热水系统项目应用管理，提升太阳能热水系统在我市建筑领域的高水平应用。2016-20</w:t>
      </w:r>
      <w:r>
        <w:rPr>
          <w:color w:val="auto"/>
        </w:rPr>
        <w:t>20</w:t>
      </w:r>
      <w:r>
        <w:rPr>
          <w:rFonts w:hint="eastAsia"/>
          <w:color w:val="auto"/>
        </w:rPr>
        <w:t>年累计建成并投入使用太阳能热水应用项目2</w:t>
      </w:r>
      <w:r>
        <w:rPr>
          <w:color w:val="auto"/>
        </w:rPr>
        <w:t>56</w:t>
      </w:r>
      <w:r>
        <w:rPr>
          <w:rFonts w:hint="eastAsia"/>
          <w:color w:val="auto"/>
        </w:rPr>
        <w:t>个，总建筑面积</w:t>
      </w:r>
      <w:r>
        <w:rPr>
          <w:color w:val="auto"/>
        </w:rPr>
        <w:t>1472</w:t>
      </w:r>
      <w:r>
        <w:rPr>
          <w:rFonts w:hint="eastAsia"/>
          <w:color w:val="auto"/>
        </w:rPr>
        <w:t>.</w:t>
      </w:r>
      <w:r>
        <w:rPr>
          <w:color w:val="auto"/>
        </w:rPr>
        <w:t>33</w:t>
      </w:r>
      <w:r>
        <w:rPr>
          <w:rFonts w:hint="eastAsia"/>
          <w:color w:val="auto"/>
        </w:rPr>
        <w:t>万平方米</w:t>
      </w:r>
      <w:r>
        <w:rPr>
          <w:rFonts w:hint="eastAsia" w:ascii="仿宋_GB2312" w:hAnsi="仿宋_GB2312" w:cs="仿宋_GB2312"/>
          <w:color w:val="auto"/>
        </w:rPr>
        <w:t>，其中太阳能应用面积</w:t>
      </w:r>
      <w:r>
        <w:rPr>
          <w:color w:val="auto"/>
        </w:rPr>
        <w:t>907</w:t>
      </w:r>
      <w:r>
        <w:rPr>
          <w:rFonts w:hint="eastAsia"/>
          <w:color w:val="auto"/>
        </w:rPr>
        <w:t>.</w:t>
      </w:r>
      <w:r>
        <w:rPr>
          <w:color w:val="auto"/>
        </w:rPr>
        <w:t>93</w:t>
      </w:r>
      <w:r>
        <w:rPr>
          <w:rFonts w:hint="eastAsia"/>
          <w:color w:val="auto"/>
        </w:rPr>
        <w:t>万平方米。</w:t>
      </w:r>
    </w:p>
    <w:p>
      <w:pPr>
        <w:rPr>
          <w:color w:val="auto"/>
        </w:rPr>
      </w:pPr>
      <w:r>
        <w:rPr>
          <w:rFonts w:hint="eastAsia"/>
          <w:color w:val="auto"/>
        </w:rPr>
        <w:t>（5）自2017年7月1日起，新建商品住宅全部实行全装修，实现成品交付。加快绿色建筑发展，推进太阳能、空气热能、浅层地热能等的应用。</w:t>
      </w:r>
    </w:p>
    <w:p>
      <w:pPr>
        <w:rPr>
          <w:color w:val="auto"/>
        </w:rPr>
      </w:pPr>
      <w:r>
        <w:rPr>
          <w:rFonts w:hint="eastAsia"/>
          <w:color w:val="auto"/>
        </w:rPr>
        <w:t>（6）扩大绿色建筑标准的强制执行范围，住宅建筑全面执行绿色建筑标准。依据《海南省住房和城乡建设厅关于印发</w:t>
      </w:r>
      <w:r>
        <w:rPr>
          <w:rFonts w:hint="eastAsia" w:ascii="宋体" w:hAnsi="宋体" w:cs="宋体"/>
          <w:color w:val="auto"/>
        </w:rPr>
        <w:t>〈</w:t>
      </w:r>
      <w:r>
        <w:rPr>
          <w:rFonts w:hint="eastAsia"/>
          <w:color w:val="auto"/>
        </w:rPr>
        <w:t>海南省绿色建筑施工图设计专篇</w:t>
      </w:r>
      <w:r>
        <w:rPr>
          <w:rFonts w:hint="eastAsia" w:ascii="宋体" w:hAnsi="宋体" w:cs="宋体"/>
          <w:color w:val="auto"/>
        </w:rPr>
        <w:t>〉</w:t>
      </w:r>
      <w:r>
        <w:rPr>
          <w:rFonts w:hint="eastAsia"/>
          <w:color w:val="auto"/>
        </w:rPr>
        <w:t>的通知》（琼建科</w:t>
      </w:r>
      <w:r>
        <w:rPr>
          <w:rFonts w:hint="eastAsia" w:ascii="宋体" w:hAnsi="宋体" w:cs="宋体"/>
          <w:color w:val="auto"/>
        </w:rPr>
        <w:t>[2017]92号</w:t>
      </w:r>
      <w:r>
        <w:rPr>
          <w:rFonts w:hint="eastAsia"/>
          <w:color w:val="auto"/>
        </w:rPr>
        <w:t>），单体建筑面积超过</w:t>
      </w:r>
      <w:r>
        <w:rPr>
          <w:color w:val="auto"/>
        </w:rPr>
        <w:t>3000</w:t>
      </w:r>
      <w:r>
        <w:rPr>
          <w:rFonts w:hint="eastAsia"/>
          <w:color w:val="auto"/>
        </w:rPr>
        <w:t>平方米的政府投资的公益性建筑和单体建筑面积超过2万平方米的公共建筑全面执行绿色建筑标准，自2017年5月1日起执行。依据《海南省住房和城乡建设厅关于印发</w:t>
      </w:r>
      <w:r>
        <w:rPr>
          <w:rFonts w:hint="eastAsia" w:ascii="宋体" w:hAnsi="宋体" w:cs="宋体"/>
          <w:color w:val="auto"/>
        </w:rPr>
        <w:t>〈</w:t>
      </w:r>
      <w:r>
        <w:rPr>
          <w:rFonts w:hint="eastAsia"/>
          <w:color w:val="auto"/>
        </w:rPr>
        <w:t>海南省绿色建筑设计说明专篇（2019年版）</w:t>
      </w:r>
      <w:r>
        <w:rPr>
          <w:rFonts w:hint="eastAsia" w:ascii="宋体" w:hAnsi="宋体" w:cs="宋体"/>
          <w:color w:val="auto"/>
        </w:rPr>
        <w:t>〉</w:t>
      </w:r>
      <w:r>
        <w:rPr>
          <w:rFonts w:hint="eastAsia"/>
          <w:color w:val="auto"/>
        </w:rPr>
        <w:t>的通知》，单体建筑面积超过1000平方米的政府投资的公益性建筑和单体建筑面积超过2万平方米的公共建筑全面执行绿色建筑标准，自2019年10月1日起实施。</w:t>
      </w:r>
    </w:p>
    <w:p>
      <w:pPr>
        <w:rPr>
          <w:color w:val="auto"/>
        </w:rPr>
      </w:pPr>
      <w:r>
        <w:rPr>
          <w:rFonts w:hint="eastAsia"/>
          <w:color w:val="auto"/>
        </w:rPr>
        <w:t>2019年执行绿建建筑面积573.98万平方米，占施工许可总面积比例为89%。2020年施工许可报建中执行绿色建筑标准项目103个，建筑面积671万㎡，占施工许可总建筑面积比例88%。已达到城镇绿建建筑面积占新建建筑面积比例达到50%的目标。</w:t>
      </w:r>
    </w:p>
    <w:p>
      <w:pPr>
        <w:ind w:firstLine="562"/>
        <w:rPr>
          <w:b/>
          <w:bCs/>
        </w:rPr>
      </w:pPr>
      <w:r>
        <w:rPr>
          <w:rFonts w:hint="eastAsia"/>
          <w:b/>
          <w:bCs/>
        </w:rPr>
        <w:t>2</w:t>
      </w:r>
      <w:r>
        <w:rPr>
          <w:b/>
          <w:bCs/>
        </w:rPr>
        <w:t xml:space="preserve"> 三亚建筑能耗指标</w:t>
      </w:r>
      <w:r>
        <w:rPr>
          <w:rFonts w:hint="eastAsia"/>
          <w:b/>
          <w:bCs/>
        </w:rPr>
        <w:t>评估</w:t>
      </w:r>
    </w:p>
    <w:p>
      <w:pPr>
        <w:rPr>
          <w:color w:val="auto"/>
        </w:rPr>
      </w:pPr>
      <w:r>
        <w:rPr>
          <w:rFonts w:hint="eastAsia"/>
          <w:color w:val="auto"/>
        </w:rPr>
        <w:t>根据民用建筑用能特点，民用建筑用能以建筑能耗指标来评估。在</w:t>
      </w:r>
      <w:r>
        <w:rPr>
          <w:color w:val="auto"/>
        </w:rPr>
        <w:t>国家、海南省相关建筑</w:t>
      </w:r>
      <w:r>
        <w:rPr>
          <w:rFonts w:hint="eastAsia"/>
          <w:color w:val="auto"/>
        </w:rPr>
        <w:t>能耗</w:t>
      </w:r>
      <w:r>
        <w:rPr>
          <w:color w:val="auto"/>
        </w:rPr>
        <w:t>标准的基础上，</w:t>
      </w:r>
      <w:r>
        <w:rPr>
          <w:rFonts w:ascii="仿宋_GB2312" w:hAnsi="仿宋_GB2312" w:cs="仿宋_GB2312"/>
          <w:color w:val="auto"/>
          <w:kern w:val="0"/>
          <w:lang w:bidi="ar"/>
        </w:rPr>
        <w:t>将三亚用能现状与国家、海南规定的能耗标准进行对比分析，对三亚市主要建筑类型能耗指标进行评估</w:t>
      </w:r>
      <w:r>
        <w:rPr>
          <w:rFonts w:hint="eastAsia" w:ascii="仿宋_GB2312" w:hAnsi="仿宋_GB2312" w:cs="仿宋_GB2312"/>
          <w:color w:val="auto"/>
          <w:kern w:val="0"/>
          <w:lang w:bidi="ar"/>
        </w:rPr>
        <w:t>。</w:t>
      </w:r>
    </w:p>
    <w:p>
      <w:pPr>
        <w:numPr>
          <w:ilvl w:val="0"/>
          <w:numId w:val="13"/>
        </w:numPr>
        <w:rPr>
          <w:color w:val="auto"/>
        </w:rPr>
      </w:pPr>
      <w:r>
        <w:rPr>
          <w:rFonts w:hint="eastAsia"/>
          <w:color w:val="auto"/>
        </w:rPr>
        <w:t>依据民用建筑能耗指标分析，既有建筑中，办公建筑、学校建筑等基本符合国家及海南建筑能耗指标要求，部分商场、旅馆建筑需要进行节能改造。</w:t>
      </w:r>
    </w:p>
    <w:p>
      <w:pPr>
        <w:numPr>
          <w:ilvl w:val="0"/>
          <w:numId w:val="13"/>
        </w:numPr>
        <w:rPr>
          <w:color w:val="auto"/>
        </w:rPr>
      </w:pPr>
      <w:r>
        <w:rPr>
          <w:rFonts w:hint="eastAsia"/>
          <w:color w:val="auto"/>
        </w:rPr>
        <w:t>新设计建筑按国家和地方的节能相关规范、标准设计，建筑节能率可达50%以上。通过执行新建建筑设计和施工阶段节能强制性标准，新建建筑基本满足国家及海南建筑能耗指标标准。</w:t>
      </w:r>
    </w:p>
    <w:p>
      <w:pPr>
        <w:ind w:firstLine="562"/>
        <w:rPr>
          <w:b/>
          <w:bCs/>
        </w:rPr>
      </w:pPr>
      <w:r>
        <w:rPr>
          <w:b/>
          <w:bCs/>
        </w:rPr>
        <w:t xml:space="preserve">3 </w:t>
      </w:r>
      <w:r>
        <w:rPr>
          <w:rFonts w:hint="eastAsia"/>
          <w:b/>
          <w:bCs/>
        </w:rPr>
        <w:t>提出建筑节能技术措施</w:t>
      </w:r>
    </w:p>
    <w:p>
      <w:pPr>
        <w:rPr>
          <w:color w:val="auto"/>
        </w:rPr>
      </w:pPr>
      <w:r>
        <w:rPr>
          <w:rFonts w:hint="eastAsia"/>
          <w:color w:val="auto"/>
        </w:rPr>
        <w:t>根据民用建筑</w:t>
      </w:r>
      <w:r>
        <w:rPr>
          <w:color w:val="auto"/>
        </w:rPr>
        <w:t>分类及其用能</w:t>
      </w:r>
      <w:r>
        <w:rPr>
          <w:rFonts w:hint="eastAsia"/>
          <w:color w:val="auto"/>
        </w:rPr>
        <w:t>特点，提出了既有建筑节能改造技术措施建议、新建建筑节能设计措施要求及节能管理措施。通过严格执行各项节能措施，将节能工作落实到实处。</w:t>
      </w:r>
    </w:p>
    <w:p>
      <w:pPr>
        <w:ind w:firstLine="562"/>
        <w:rPr>
          <w:b/>
          <w:bCs/>
        </w:rPr>
      </w:pPr>
      <w:r>
        <w:rPr>
          <w:b/>
          <w:bCs/>
        </w:rPr>
        <w:t xml:space="preserve">4 </w:t>
      </w:r>
      <w:r>
        <w:rPr>
          <w:rFonts w:hint="eastAsia"/>
          <w:b/>
          <w:bCs/>
        </w:rPr>
        <w:t>确定区域建筑节能</w:t>
      </w:r>
      <w:r>
        <w:rPr>
          <w:b/>
          <w:bCs/>
        </w:rPr>
        <w:t>管控措施</w:t>
      </w:r>
    </w:p>
    <w:p>
      <w:pPr>
        <w:rPr>
          <w:color w:val="auto"/>
        </w:rPr>
      </w:pPr>
      <w:r>
        <w:rPr>
          <w:rFonts w:hint="eastAsia"/>
          <w:color w:val="auto"/>
        </w:rPr>
        <w:t>（1）提出区域规划节能措施。</w:t>
      </w:r>
    </w:p>
    <w:p>
      <w:pPr>
        <w:rPr>
          <w:color w:val="auto"/>
        </w:rPr>
      </w:pPr>
      <w:r>
        <w:rPr>
          <w:rFonts w:hint="eastAsia"/>
          <w:color w:val="auto"/>
        </w:rPr>
        <w:t>（2）</w:t>
      </w:r>
      <w:r>
        <w:rPr>
          <w:color w:val="auto"/>
        </w:rPr>
        <w:t>城镇新建建筑设计和施工阶段节能强制性标准执行率</w:t>
      </w:r>
      <w:r>
        <w:rPr>
          <w:rFonts w:hint="eastAsia"/>
          <w:color w:val="auto"/>
        </w:rPr>
        <w:t>继续保持</w:t>
      </w:r>
      <w:r>
        <w:rPr>
          <w:color w:val="auto"/>
        </w:rPr>
        <w:t>100%</w:t>
      </w:r>
      <w:r>
        <w:rPr>
          <w:rFonts w:hint="eastAsia"/>
          <w:color w:val="auto"/>
        </w:rPr>
        <w:t>。</w:t>
      </w:r>
    </w:p>
    <w:p>
      <w:pPr>
        <w:rPr>
          <w:color w:val="auto"/>
        </w:rPr>
      </w:pPr>
      <w:r>
        <w:rPr>
          <w:rFonts w:hint="eastAsia"/>
          <w:color w:val="auto"/>
        </w:rPr>
        <w:t>单体建筑面积在5000平方米以上的新建国家机关办公建筑和2万平方米以上的新建大型公共建筑，以及进行节能改造的既有公共建筑，应设置分类、分级用能远传计量系统，且设置能源管理系统实现对建筑能耗的监测、数据分析和管理（或接入能源监测平台，实现建筑能耗的监测、数据分析和管理）。</w:t>
      </w:r>
      <w:r>
        <w:rPr>
          <w:rFonts w:hint="eastAsia"/>
          <w:color w:val="auto"/>
          <w:vertAlign w:val="superscript"/>
        </w:rPr>
        <w:footnoteReference w:id="10"/>
      </w:r>
    </w:p>
    <w:p>
      <w:pPr>
        <w:widowControl/>
        <w:rPr>
          <w:color w:val="auto"/>
        </w:rPr>
      </w:pPr>
      <w:r>
        <w:rPr>
          <w:rFonts w:hint="eastAsia" w:ascii="仿宋_GB2312" w:hAnsi="仿宋_GB2312" w:cs="仿宋_GB2312"/>
          <w:color w:val="auto"/>
          <w:kern w:val="0"/>
          <w:lang w:bidi="ar"/>
        </w:rPr>
        <w:t>（</w:t>
      </w:r>
      <w:r>
        <w:rPr>
          <w:rFonts w:ascii="仿宋_GB2312" w:hAnsi="仿宋_GB2312" w:cs="仿宋_GB2312"/>
          <w:color w:val="auto"/>
          <w:kern w:val="0"/>
          <w:lang w:bidi="ar"/>
        </w:rPr>
        <w:t>3</w:t>
      </w:r>
      <w:r>
        <w:rPr>
          <w:rFonts w:hint="eastAsia" w:ascii="仿宋_GB2312" w:hAnsi="仿宋_GB2312" w:cs="仿宋_GB2312"/>
          <w:color w:val="auto"/>
          <w:kern w:val="0"/>
          <w:lang w:bidi="ar"/>
        </w:rPr>
        <w:t>）推行民用建筑能耗定额管理制度。依据以上</w:t>
      </w:r>
      <w:r>
        <w:rPr>
          <w:rFonts w:ascii="仿宋_GB2312" w:hAnsi="仿宋_GB2312" w:cs="仿宋_GB2312"/>
          <w:color w:val="auto"/>
          <w:kern w:val="0"/>
          <w:lang w:bidi="ar"/>
        </w:rPr>
        <w:t>标准</w:t>
      </w:r>
      <w:r>
        <w:rPr>
          <w:rFonts w:hint="eastAsia" w:ascii="仿宋_GB2312" w:hAnsi="仿宋_GB2312" w:cs="仿宋_GB2312"/>
          <w:color w:val="auto"/>
          <w:kern w:val="0"/>
          <w:lang w:bidi="ar"/>
        </w:rPr>
        <w:t>，结合三亚</w:t>
      </w:r>
      <w:r>
        <w:rPr>
          <w:rFonts w:ascii="仿宋_GB2312" w:hAnsi="仿宋_GB2312" w:cs="仿宋_GB2312"/>
          <w:color w:val="auto"/>
          <w:kern w:val="0"/>
          <w:lang w:bidi="ar"/>
        </w:rPr>
        <w:t>实际的建筑能耗数据，制定了符合</w:t>
      </w:r>
      <w:r>
        <w:rPr>
          <w:rFonts w:hint="eastAsia" w:ascii="仿宋_GB2312" w:hAnsi="仿宋_GB2312" w:cs="仿宋_GB2312"/>
          <w:color w:val="auto"/>
          <w:kern w:val="0"/>
          <w:lang w:bidi="ar"/>
        </w:rPr>
        <w:t>三亚</w:t>
      </w:r>
      <w:r>
        <w:rPr>
          <w:rFonts w:ascii="仿宋_GB2312" w:hAnsi="仿宋_GB2312" w:cs="仿宋_GB2312"/>
          <w:color w:val="auto"/>
          <w:kern w:val="0"/>
          <w:lang w:bidi="ar"/>
        </w:rPr>
        <w:t>当前</w:t>
      </w:r>
      <w:r>
        <w:rPr>
          <w:rFonts w:hint="eastAsia" w:ascii="仿宋_GB2312" w:hAnsi="仿宋_GB2312" w:cs="仿宋_GB2312"/>
          <w:color w:val="auto"/>
          <w:kern w:val="0"/>
          <w:lang w:bidi="ar"/>
        </w:rPr>
        <w:t>情况</w:t>
      </w:r>
      <w:r>
        <w:rPr>
          <w:rFonts w:ascii="仿宋_GB2312" w:hAnsi="仿宋_GB2312" w:cs="仿宋_GB2312"/>
          <w:color w:val="auto"/>
          <w:kern w:val="0"/>
          <w:lang w:bidi="ar"/>
        </w:rPr>
        <w:t>的建筑能耗指标，以此强化对建筑终端用能强度的控制与引导。</w:t>
      </w:r>
    </w:p>
    <w:p>
      <w:pPr>
        <w:rPr>
          <w:color w:val="auto"/>
        </w:rPr>
      </w:pPr>
      <w:r>
        <w:rPr>
          <w:rFonts w:hint="eastAsia"/>
          <w:color w:val="auto"/>
        </w:rPr>
        <w:t>（</w:t>
      </w:r>
      <w:r>
        <w:rPr>
          <w:color w:val="auto"/>
        </w:rPr>
        <w:t>4</w:t>
      </w:r>
      <w:r>
        <w:rPr>
          <w:rFonts w:hint="eastAsia"/>
          <w:color w:val="auto"/>
        </w:rPr>
        <w:t>）继续执行强制性规定要求。拓展绿色建筑实施广度深度。</w:t>
      </w:r>
      <w:r>
        <w:rPr>
          <w:color w:val="auto"/>
        </w:rPr>
        <w:t>积极推进绿色</w:t>
      </w:r>
      <w:r>
        <w:rPr>
          <w:rFonts w:hint="eastAsia"/>
          <w:color w:val="auto"/>
        </w:rPr>
        <w:t>生态片区</w:t>
      </w:r>
      <w:r>
        <w:rPr>
          <w:color w:val="auto"/>
        </w:rPr>
        <w:t>建设</w:t>
      </w:r>
      <w:r>
        <w:rPr>
          <w:rFonts w:hint="eastAsia"/>
          <w:color w:val="auto"/>
        </w:rPr>
        <w:t>。</w:t>
      </w:r>
    </w:p>
    <w:p>
      <w:pPr>
        <w:rPr>
          <w:color w:val="auto"/>
        </w:rPr>
      </w:pPr>
      <w:r>
        <w:rPr>
          <w:rFonts w:hint="eastAsia"/>
          <w:color w:val="auto"/>
        </w:rPr>
        <w:t>（</w:t>
      </w:r>
      <w:r>
        <w:rPr>
          <w:color w:val="auto"/>
        </w:rPr>
        <w:t>5</w:t>
      </w:r>
      <w:r>
        <w:rPr>
          <w:rFonts w:hint="eastAsia"/>
          <w:color w:val="auto"/>
        </w:rPr>
        <w:t>）</w:t>
      </w:r>
      <w:r>
        <w:rPr>
          <w:color w:val="auto"/>
        </w:rPr>
        <w:t>推动节能运行管理</w:t>
      </w:r>
      <w:r>
        <w:rPr>
          <w:rFonts w:hint="eastAsia"/>
          <w:color w:val="auto"/>
        </w:rPr>
        <w:t>。</w:t>
      </w:r>
    </w:p>
    <w:p>
      <w:pPr>
        <w:rPr>
          <w:color w:val="auto"/>
        </w:rPr>
      </w:pPr>
      <w:r>
        <w:rPr>
          <w:rFonts w:hint="eastAsia"/>
          <w:color w:val="auto"/>
        </w:rPr>
        <w:t>完善能耗监测平台，继续推进国家机关办公建筑以及大型公共建筑安装分项计量装置，连接省级能耗监测平台，进行建筑能耗数据的实时动态监测。</w:t>
      </w:r>
      <w:r>
        <w:rPr>
          <w:color w:val="auto"/>
        </w:rPr>
        <w:t>加快既有建筑节能改造</w:t>
      </w:r>
      <w:r>
        <w:rPr>
          <w:rFonts w:hint="eastAsia"/>
          <w:color w:val="auto"/>
        </w:rPr>
        <w:t>，推动小区绿色化改造示范。</w:t>
      </w:r>
    </w:p>
    <w:p>
      <w:pPr>
        <w:rPr>
          <w:color w:val="auto"/>
        </w:rPr>
      </w:pPr>
      <w:r>
        <w:rPr>
          <w:rFonts w:hint="eastAsia"/>
          <w:color w:val="auto"/>
        </w:rPr>
        <w:t>（</w:t>
      </w:r>
      <w:r>
        <w:rPr>
          <w:color w:val="auto"/>
        </w:rPr>
        <w:t>6</w:t>
      </w:r>
      <w:r>
        <w:rPr>
          <w:rFonts w:hint="eastAsia"/>
          <w:color w:val="auto"/>
        </w:rPr>
        <w:t>）积极推进装配式建筑建设。</w:t>
      </w:r>
    </w:p>
    <w:p>
      <w:pPr>
        <w:rPr>
          <w:color w:val="auto"/>
        </w:rPr>
      </w:pPr>
      <w:r>
        <w:rPr>
          <w:rFonts w:hint="eastAsia"/>
          <w:color w:val="auto"/>
        </w:rPr>
        <w:t>新建商品住宅项目、政府投资的新建公共建筑以及社会投资总建筑面积3万平方米以上或单体建筑面积2万平方米以上的新建商业、办公等公共建筑项目，具备条件的全部采用装配式方式建造；</w:t>
      </w:r>
    </w:p>
    <w:p>
      <w:pPr>
        <w:rPr>
          <w:color w:val="auto"/>
        </w:rPr>
      </w:pPr>
      <w:r>
        <w:rPr>
          <w:rFonts w:hint="eastAsia"/>
          <w:color w:val="auto"/>
        </w:rPr>
        <w:t>（7）推广可再生能源应用。</w:t>
      </w:r>
    </w:p>
    <w:p>
      <w:pPr>
        <w:rPr>
          <w:color w:val="auto"/>
        </w:rPr>
      </w:pPr>
      <w:r>
        <w:rPr>
          <w:rFonts w:hint="eastAsia"/>
          <w:color w:val="auto"/>
        </w:rPr>
        <w:t>12层以下（含12层）的有使用需求的新建建筑应当统一配建太阳能热水系统。识别现阶段三亚市可再生能源建筑热水应用的合理模式，提出应用实施路径，及时调整发展方向，不断探索以应用效果为基础、经济适用性强的多能互补可再生能源建筑热水应用模式。</w:t>
      </w:r>
    </w:p>
    <w:p>
      <w:pPr>
        <w:rPr>
          <w:color w:val="auto"/>
        </w:rPr>
      </w:pPr>
      <w:r>
        <w:rPr>
          <w:color w:val="auto"/>
        </w:rPr>
        <w:t>大力推进</w:t>
      </w:r>
      <w:r>
        <w:rPr>
          <w:rFonts w:hint="eastAsia"/>
          <w:color w:val="auto"/>
        </w:rPr>
        <w:t>太阳能</w:t>
      </w:r>
      <w:r>
        <w:rPr>
          <w:color w:val="auto"/>
        </w:rPr>
        <w:t>光伏</w:t>
      </w:r>
      <w:r>
        <w:rPr>
          <w:rFonts w:hint="eastAsia"/>
          <w:color w:val="auto"/>
        </w:rPr>
        <w:t>建筑一体化工程。</w:t>
      </w:r>
      <w:r>
        <w:rPr>
          <w:color w:val="auto"/>
        </w:rPr>
        <w:t>积极推进公共机构分布式光伏发电规模化应用</w:t>
      </w:r>
      <w:r>
        <w:rPr>
          <w:rFonts w:hint="eastAsia"/>
          <w:color w:val="auto"/>
        </w:rPr>
        <w:t>，</w:t>
      </w:r>
      <w:r>
        <w:rPr>
          <w:color w:val="auto"/>
        </w:rPr>
        <w:t>充分利用</w:t>
      </w:r>
      <w:r>
        <w:rPr>
          <w:rFonts w:hint="eastAsia"/>
          <w:color w:val="auto"/>
        </w:rPr>
        <w:t>既有的</w:t>
      </w:r>
      <w:r>
        <w:rPr>
          <w:color w:val="auto"/>
        </w:rPr>
        <w:t>火车站、机场航站楼、综合交通枢纽屋顶、商业综合体、大型体育场馆、政府机关等公共机构推广应用分布式光伏发电，</w:t>
      </w:r>
      <w:r>
        <w:rPr>
          <w:rFonts w:hint="eastAsia"/>
          <w:color w:val="auto"/>
        </w:rPr>
        <w:t>对于新建的公共建筑应要求实施光伏建筑一体化，可采用“自发自用、余电上网或全额上网”发电模式，引领三亚市建筑光伏发电的全面推动</w:t>
      </w:r>
      <w:r>
        <w:rPr>
          <w:color w:val="auto"/>
        </w:rPr>
        <w:t>。</w:t>
      </w:r>
    </w:p>
    <w:p>
      <w:pPr>
        <w:rPr>
          <w:rFonts w:cs="宋体"/>
          <w:color w:val="auto"/>
          <w:kern w:val="0"/>
        </w:rPr>
      </w:pPr>
      <w:r>
        <w:rPr>
          <w:rFonts w:hint="eastAsia"/>
          <w:color w:val="auto"/>
        </w:rPr>
        <w:t>（8）提出</w:t>
      </w:r>
      <w:r>
        <w:rPr>
          <w:color w:val="auto"/>
        </w:rPr>
        <w:t>建立</w:t>
      </w:r>
      <w:r>
        <w:rPr>
          <w:rFonts w:hint="eastAsia"/>
          <w:color w:val="auto"/>
        </w:rPr>
        <w:t>先进节能管理措施。建立能源管理体系，不断提高能源管理体系持续改进的有效性，实现能源管理方针和承诺并达到预期的能源消耗或使用目标。建设智慧能源系统，推广合同能源管理。</w:t>
      </w:r>
    </w:p>
    <w:p>
      <w:pPr>
        <w:rPr>
          <w:color w:val="auto"/>
        </w:rPr>
      </w:pPr>
      <w:r>
        <w:rPr>
          <w:rFonts w:hint="eastAsia"/>
          <w:color w:val="auto"/>
        </w:rPr>
        <w:t>（9）加强事中事后监管。建立与工程建设项目审批制度改革相适应的监管体系，明确监管的主要内容、方式和时间要求等。制定并实施加强事中事后监管的相关制度和监督检查办法。加强信用体系建设，建立并实施红黑名单制度建立并完善信用监管体系，依托工程建设项目审批管理系统。</w:t>
      </w:r>
    </w:p>
    <w:p>
      <w:pPr>
        <w:pStyle w:val="3"/>
        <w:spacing w:before="156" w:after="156"/>
        <w:rPr>
          <w:color w:val="auto"/>
        </w:rPr>
      </w:pPr>
      <w:bookmarkStart w:id="307" w:name="_Toc12281"/>
      <w:r>
        <w:rPr>
          <w:rFonts w:hint="eastAsia"/>
          <w:color w:val="auto"/>
        </w:rPr>
        <w:t>6.2 建议</w:t>
      </w:r>
      <w:bookmarkEnd w:id="307"/>
    </w:p>
    <w:p>
      <w:pPr>
        <w:widowControl/>
        <w:jc w:val="left"/>
        <w:rPr>
          <w:color w:val="auto"/>
        </w:rPr>
      </w:pPr>
      <w:r>
        <w:rPr>
          <w:rFonts w:hint="eastAsia"/>
          <w:color w:val="auto"/>
        </w:rPr>
        <w:t>（1）</w:t>
      </w:r>
      <w:r>
        <w:rPr>
          <w:color w:val="auto"/>
        </w:rPr>
        <w:t>结合三亚实际</w:t>
      </w:r>
      <w:r>
        <w:rPr>
          <w:rFonts w:ascii="仿宋_GB2312" w:hAnsi="仿宋_GB2312" w:cs="仿宋_GB2312"/>
          <w:color w:val="auto"/>
          <w:kern w:val="0"/>
          <w:lang w:bidi="ar"/>
        </w:rPr>
        <w:t>制定三亚民用建筑用能标准，并用于指导未来新建项目节能设计，形成“分类管理</w:t>
      </w:r>
      <w:r>
        <w:rPr>
          <w:color w:val="auto"/>
          <w:kern w:val="0"/>
          <w:lang w:bidi="ar"/>
        </w:rPr>
        <w:t>+</w:t>
      </w:r>
      <w:r>
        <w:rPr>
          <w:rFonts w:ascii="仿宋_GB2312" w:hAnsi="仿宋_GB2312" w:cs="仿宋_GB2312"/>
          <w:color w:val="auto"/>
          <w:kern w:val="0"/>
          <w:lang w:bidi="ar"/>
        </w:rPr>
        <w:t>能耗指标”的工作机制</w:t>
      </w:r>
      <w:r>
        <w:rPr>
          <w:rFonts w:hint="eastAsia" w:ascii="仿宋_GB2312" w:hAnsi="仿宋_GB2312" w:cs="仿宋_GB2312"/>
          <w:color w:val="auto"/>
          <w:kern w:val="0"/>
          <w:lang w:bidi="ar"/>
        </w:rPr>
        <w:t>。</w:t>
      </w:r>
    </w:p>
    <w:p>
      <w:pPr>
        <w:rPr>
          <w:color w:val="auto"/>
        </w:rPr>
      </w:pPr>
      <w:r>
        <w:rPr>
          <w:rFonts w:hint="eastAsia"/>
          <w:color w:val="auto"/>
        </w:rPr>
        <w:t>（2）加强事中事后监管。为切实加强节能评估和审查事中事后监管工作，大力推动政府职能转变，提高工作效率，推进节能审查由“事前审批”逐渐向“事中事后监管”，推进事中事后监管制度化、规范化、程序化。</w:t>
      </w:r>
    </w:p>
    <w:p>
      <w:pPr>
        <w:rPr>
          <w:color w:val="auto"/>
        </w:rPr>
      </w:pPr>
      <w:r>
        <w:rPr>
          <w:rFonts w:hint="eastAsia"/>
          <w:color w:val="auto"/>
        </w:rPr>
        <w:t>（3）推进绿色建筑高质量发展。一是通过立法明确绿色建筑运营管理的主体责任，建立绿色建筑运行管理长效机制。明确绿色建筑在运行阶段责任。二是加强能力建设，提升物业人员绿色运营管理水平。三是积极推广建筑调适工作，不断优化建筑用能系统运行策略，提升建筑运行能效。</w:t>
      </w:r>
    </w:p>
    <w:p>
      <w:pPr>
        <w:rPr>
          <w:color w:val="auto"/>
        </w:rPr>
      </w:pPr>
      <w:r>
        <w:rPr>
          <w:rFonts w:hint="eastAsia"/>
          <w:color w:val="auto"/>
        </w:rPr>
        <w:t>（4）加强能源管理。宏观层面完善政策法规的制订，充分利用能耗监测平台，对建筑能耗进行实时监督和测量，及时发现问题，及时解决；建立能源定额管理制度，督促各用能单位加强能源管理。微观层面通过对建筑物的日常运行维护和用户耗能的行为方式实施有效的管理，以及通过能效改善和节能改造实现节能；完善的节能运行管理，健全的能源管理制度。</w:t>
      </w:r>
    </w:p>
    <w:p>
      <w:pPr>
        <w:rPr>
          <w:color w:val="auto"/>
        </w:rPr>
      </w:pPr>
      <w:r>
        <w:rPr>
          <w:rFonts w:hint="eastAsia"/>
          <w:color w:val="auto"/>
        </w:rPr>
        <w:t>（5）加强节能监察执法。在项目稳定运行后，区域管理机构可以自行或委托能源监察机构，不定期对项目实际能耗水平等承诺内容进行专项监察。对达不到承诺内容要求的，督促企业进行整改。</w:t>
      </w:r>
    </w:p>
    <w:bookmarkEnd w:id="250"/>
    <w:bookmarkEnd w:id="251"/>
    <w:bookmarkEnd w:id="252"/>
    <w:bookmarkEnd w:id="253"/>
    <w:bookmarkEnd w:id="254"/>
    <w:bookmarkEnd w:id="255"/>
    <w:bookmarkEnd w:id="256"/>
    <w:bookmarkEnd w:id="257"/>
    <w:bookmarkEnd w:id="299"/>
    <w:bookmarkEnd w:id="300"/>
    <w:p>
      <w:pPr>
        <w:pStyle w:val="3"/>
        <w:spacing w:before="156" w:after="156"/>
        <w:ind w:firstLine="300"/>
        <w:rPr>
          <w:rFonts w:ascii="宋体" w:hAnsi="宋体" w:cs="宋体"/>
          <w:color w:val="auto"/>
          <w:sz w:val="24"/>
          <w:szCs w:val="24"/>
        </w:rPr>
      </w:pPr>
      <w:bookmarkStart w:id="308" w:name="_Toc12955"/>
      <w:r>
        <w:rPr>
          <w:rFonts w:hint="eastAsia"/>
          <w:color w:val="auto"/>
        </w:rPr>
        <w:t>6</w:t>
      </w:r>
      <w:r>
        <w:rPr>
          <w:color w:val="auto"/>
        </w:rPr>
        <w:t>.3</w:t>
      </w:r>
      <w:r>
        <w:rPr>
          <w:rFonts w:hint="eastAsia"/>
          <w:color w:val="auto"/>
        </w:rPr>
        <w:t xml:space="preserve"> </w:t>
      </w:r>
      <w:r>
        <w:rPr>
          <w:rFonts w:hint="eastAsia" w:ascii="宋体" w:hAnsi="宋体" w:cs="宋体"/>
          <w:color w:val="auto"/>
        </w:rPr>
        <w:t>总论</w:t>
      </w:r>
      <w:bookmarkEnd w:id="308"/>
      <w:r>
        <w:rPr>
          <w:rFonts w:hint="eastAsia" w:ascii="宋体" w:hAnsi="宋体" w:cs="宋体"/>
          <w:color w:val="auto"/>
        </w:rPr>
        <w:t xml:space="preserve"> </w:t>
      </w:r>
    </w:p>
    <w:p>
      <w:pPr>
        <w:rPr>
          <w:color w:val="auto"/>
        </w:rPr>
      </w:pPr>
      <w:r>
        <w:rPr>
          <w:rFonts w:hint="eastAsia"/>
          <w:color w:val="auto"/>
        </w:rPr>
        <w:t>本报告通过分析三亚区域建筑用能现状、规划</w:t>
      </w:r>
      <w:r>
        <w:rPr>
          <w:color w:val="auto"/>
        </w:rPr>
        <w:t>目标</w:t>
      </w:r>
      <w:r>
        <w:rPr>
          <w:rFonts w:hint="eastAsia"/>
          <w:color w:val="auto"/>
        </w:rPr>
        <w:t>，评估规划</w:t>
      </w:r>
      <w:r>
        <w:rPr>
          <w:color w:val="auto"/>
        </w:rPr>
        <w:t>目标完成情况及三亚建筑能耗指标现状，</w:t>
      </w:r>
      <w:r>
        <w:rPr>
          <w:rFonts w:hint="eastAsia"/>
          <w:color w:val="auto"/>
        </w:rPr>
        <w:t>提出</w:t>
      </w:r>
      <w:r>
        <w:rPr>
          <w:color w:val="auto"/>
        </w:rPr>
        <w:t>与各类建筑用能状况相适应的</w:t>
      </w:r>
      <w:r>
        <w:rPr>
          <w:rFonts w:hint="eastAsia"/>
          <w:color w:val="auto"/>
        </w:rPr>
        <w:t>各项节能措施，提出建筑</w:t>
      </w:r>
      <w:r>
        <w:rPr>
          <w:color w:val="auto"/>
        </w:rPr>
        <w:t>节能、绿色建筑、装配式建筑、可再生能源等相关区域节能管控措施，</w:t>
      </w:r>
      <w:r>
        <w:rPr>
          <w:rFonts w:hint="eastAsia"/>
          <w:color w:val="auto"/>
        </w:rPr>
        <w:t>并依法开展事中事后监管，从而有力支撑“十四五”期间节能工作目标的完成。</w:t>
      </w:r>
    </w:p>
    <w:p>
      <w:pPr>
        <w:pStyle w:val="2"/>
        <w:spacing w:before="156" w:after="156"/>
        <w:jc w:val="both"/>
      </w:pPr>
      <w:bookmarkStart w:id="309" w:name="_Toc28355"/>
      <w:r>
        <w:rPr>
          <w:rFonts w:hint="eastAsia"/>
        </w:rPr>
        <w:t>附 件</w:t>
      </w:r>
      <w:bookmarkEnd w:id="309"/>
    </w:p>
    <w:p>
      <w:r>
        <w:rPr>
          <w:rFonts w:hint="eastAsia"/>
        </w:rPr>
        <w:t>附件1：区域建筑节能管控措施表</w:t>
      </w:r>
    </w:p>
    <w:p>
      <w:r>
        <w:rPr>
          <w:rFonts w:hint="eastAsia"/>
        </w:rPr>
        <w:t>附件2：三亚市民用建筑能耗指标表</w:t>
      </w:r>
    </w:p>
    <w:p>
      <w:pPr>
        <w:ind w:firstLine="0" w:firstLineChars="0"/>
        <w:rPr>
          <w:b/>
          <w:bCs/>
        </w:rPr>
      </w:pPr>
      <w:r>
        <w:rPr>
          <w:rFonts w:hint="eastAsia"/>
        </w:rPr>
        <w:br w:type="page"/>
      </w:r>
      <w:r>
        <w:rPr>
          <w:rFonts w:hint="eastAsia"/>
          <w:b/>
          <w:bCs/>
        </w:rPr>
        <w:t>附件1：</w:t>
      </w:r>
    </w:p>
    <w:p>
      <w:pPr>
        <w:ind w:firstLine="562"/>
        <w:jc w:val="center"/>
        <w:rPr>
          <w:b/>
          <w:bCs/>
        </w:rPr>
      </w:pPr>
      <w:r>
        <w:rPr>
          <w:rFonts w:hint="eastAsia"/>
          <w:b/>
          <w:bCs/>
        </w:rPr>
        <w:t>区域建筑节能管控措施表</w:t>
      </w:r>
    </w:p>
    <w:tbl>
      <w:tblPr>
        <w:tblStyle w:val="39"/>
        <w:tblW w:w="8558" w:type="dxa"/>
        <w:tblInd w:w="0" w:type="dxa"/>
        <w:tblLayout w:type="fixed"/>
        <w:tblCellMar>
          <w:top w:w="0" w:type="dxa"/>
          <w:left w:w="0" w:type="dxa"/>
          <w:bottom w:w="0" w:type="dxa"/>
          <w:right w:w="0" w:type="dxa"/>
        </w:tblCellMar>
      </w:tblPr>
      <w:tblGrid>
        <w:gridCol w:w="762"/>
        <w:gridCol w:w="1331"/>
        <w:gridCol w:w="1486"/>
        <w:gridCol w:w="4979"/>
      </w:tblGrid>
      <w:tr>
        <w:tblPrEx>
          <w:tblLayout w:type="fixed"/>
          <w:tblCellMar>
            <w:top w:w="0" w:type="dxa"/>
            <w:left w:w="0" w:type="dxa"/>
            <w:bottom w:w="0" w:type="dxa"/>
            <w:right w:w="0" w:type="dxa"/>
          </w:tblCellMar>
        </w:tblPrEx>
        <w:trPr>
          <w:trHeight w:val="700" w:hRule="atLeast"/>
        </w:trPr>
        <w:tc>
          <w:tcPr>
            <w:tcW w:w="762"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rPr>
                <w:b/>
                <w:bCs/>
              </w:rPr>
            </w:pPr>
            <w:r>
              <w:rPr>
                <w:rFonts w:hint="eastAsia"/>
                <w:b/>
                <w:bCs/>
              </w:rPr>
              <w:t>序号</w:t>
            </w:r>
          </w:p>
        </w:tc>
        <w:tc>
          <w:tcPr>
            <w:tcW w:w="2817" w:type="dxa"/>
            <w:gridSpan w:val="2"/>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rPr>
                <w:b/>
                <w:bCs/>
              </w:rPr>
            </w:pPr>
            <w:r>
              <w:rPr>
                <w:rFonts w:hint="eastAsia"/>
                <w:b/>
                <w:bCs/>
              </w:rPr>
              <w:t>类别</w:t>
            </w:r>
          </w:p>
        </w:tc>
        <w:tc>
          <w:tcPr>
            <w:tcW w:w="497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rPr>
                <w:b/>
                <w:bCs/>
              </w:rPr>
            </w:pPr>
            <w:r>
              <w:rPr>
                <w:rFonts w:hint="eastAsia"/>
                <w:b/>
                <w:bCs/>
              </w:rPr>
              <w:t>措施要求</w:t>
            </w:r>
          </w:p>
        </w:tc>
      </w:tr>
      <w:tr>
        <w:tblPrEx>
          <w:tblLayout w:type="fixed"/>
          <w:tblCellMar>
            <w:top w:w="0" w:type="dxa"/>
            <w:left w:w="0" w:type="dxa"/>
            <w:bottom w:w="0" w:type="dxa"/>
            <w:right w:w="0" w:type="dxa"/>
          </w:tblCellMar>
        </w:tblPrEx>
        <w:trPr>
          <w:trHeight w:val="5140" w:hRule="atLeast"/>
        </w:trPr>
        <w:tc>
          <w:tcPr>
            <w:tcW w:w="762"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pPr>
            <w:r>
              <w:rPr>
                <w:rFonts w:hint="eastAsia"/>
              </w:rPr>
              <w:t>1</w:t>
            </w:r>
          </w:p>
        </w:tc>
        <w:tc>
          <w:tcPr>
            <w:tcW w:w="133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pPr>
            <w:r>
              <w:rPr>
                <w:rFonts w:hint="eastAsia"/>
              </w:rPr>
              <w:t>区域规划节能措施</w:t>
            </w:r>
          </w:p>
        </w:tc>
        <w:tc>
          <w:tcPr>
            <w:tcW w:w="14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pPr>
            <w:r>
              <w:rPr>
                <w:rFonts w:hint="eastAsia"/>
              </w:rPr>
              <w:t>规划措施</w:t>
            </w:r>
          </w:p>
        </w:tc>
        <w:tc>
          <w:tcPr>
            <w:tcW w:w="497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jc w:val="left"/>
            </w:pPr>
            <w:r>
              <w:rPr>
                <w:rFonts w:hint="eastAsia"/>
              </w:rPr>
              <w:t>结合规划所在区域地理气候环境特征，通过合理布局、优化设计等手段，构建有利于区域节能的微气候，包括自然采光、通风、日照得热等，具体应满足下列要求:</w:t>
            </w:r>
            <w:r>
              <w:rPr>
                <w:rFonts w:hint="eastAsia"/>
              </w:rPr>
              <w:br w:type="textWrapping"/>
            </w:r>
            <w:r>
              <w:rPr>
                <w:rFonts w:hint="eastAsia"/>
              </w:rPr>
              <w:t>（1）规划中心区应当尽量紧凑发展，增加路网密度，减小地块尺度，以减少交通出行距离和能耗；</w:t>
            </w:r>
            <w:r>
              <w:rPr>
                <w:rFonts w:hint="eastAsia"/>
              </w:rPr>
              <w:br w:type="textWrapping"/>
            </w:r>
            <w:r>
              <w:rPr>
                <w:rFonts w:hint="eastAsia"/>
              </w:rPr>
              <w:t>（2）规划中应考虑到的绿色空间的合理分布，因地制宜的采用水面、屋顶和立体绿化等手段，降低区域热岛效应；</w:t>
            </w:r>
            <w:r>
              <w:rPr>
                <w:rFonts w:hint="eastAsia"/>
              </w:rPr>
              <w:br w:type="textWrapping"/>
            </w:r>
            <w:r>
              <w:rPr>
                <w:rFonts w:hint="eastAsia"/>
              </w:rPr>
              <w:t>（3）对于位于城市通风廊道中的区域，还应当符合通风廊道提出的建筑高度和布局控制要求，避免高低差别较大建筑群增加地表粗糙度，阻碍城市通风。</w:t>
            </w:r>
          </w:p>
        </w:tc>
      </w:tr>
      <w:tr>
        <w:tblPrEx>
          <w:tblLayout w:type="fixed"/>
          <w:tblCellMar>
            <w:top w:w="0" w:type="dxa"/>
            <w:left w:w="0" w:type="dxa"/>
            <w:bottom w:w="0" w:type="dxa"/>
            <w:right w:w="0" w:type="dxa"/>
          </w:tblCellMar>
        </w:tblPrEx>
        <w:trPr>
          <w:trHeight w:val="2580" w:hRule="atLeast"/>
        </w:trPr>
        <w:tc>
          <w:tcPr>
            <w:tcW w:w="762" w:type="dxa"/>
            <w:vMerge w:val="restart"/>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pPr>
            <w:r>
              <w:rPr>
                <w:rFonts w:hint="eastAsia"/>
              </w:rPr>
              <w:t>2</w:t>
            </w:r>
          </w:p>
        </w:tc>
        <w:tc>
          <w:tcPr>
            <w:tcW w:w="1331" w:type="dxa"/>
            <w:vMerge w:val="restart"/>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pPr>
            <w:r>
              <w:rPr>
                <w:rFonts w:hint="eastAsia"/>
              </w:rPr>
              <w:t>新建建筑节能与能效提升</w:t>
            </w:r>
          </w:p>
        </w:tc>
        <w:tc>
          <w:tcPr>
            <w:tcW w:w="14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pPr>
            <w:r>
              <w:rPr>
                <w:rFonts w:hint="eastAsia"/>
              </w:rPr>
              <w:t>建筑节能标准</w:t>
            </w:r>
          </w:p>
        </w:tc>
        <w:tc>
          <w:tcPr>
            <w:tcW w:w="497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jc w:val="left"/>
            </w:pPr>
            <w:r>
              <w:rPr>
                <w:rFonts w:hint="eastAsia"/>
              </w:rPr>
              <w:t>在严格保障建筑节能标准执行质量和水平的基础上，重点提升新建建筑能效水平。城镇新建建筑设计和施工阶段节能强制性标准执行率继续保持100%。</w:t>
            </w:r>
          </w:p>
        </w:tc>
      </w:tr>
      <w:tr>
        <w:tblPrEx>
          <w:tblLayout w:type="fixed"/>
          <w:tblCellMar>
            <w:top w:w="0" w:type="dxa"/>
            <w:left w:w="0" w:type="dxa"/>
            <w:bottom w:w="0" w:type="dxa"/>
            <w:right w:w="0" w:type="dxa"/>
          </w:tblCellMar>
        </w:tblPrEx>
        <w:trPr>
          <w:trHeight w:val="3300" w:hRule="atLeast"/>
        </w:trPr>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pPr>
          </w:p>
        </w:tc>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pPr>
          </w:p>
        </w:tc>
        <w:tc>
          <w:tcPr>
            <w:tcW w:w="14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pPr>
            <w:r>
              <w:rPr>
                <w:rFonts w:hint="eastAsia"/>
              </w:rPr>
              <w:t>能源管理系统</w:t>
            </w:r>
          </w:p>
        </w:tc>
        <w:tc>
          <w:tcPr>
            <w:tcW w:w="497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jc w:val="left"/>
            </w:pPr>
            <w:r>
              <w:rPr>
                <w:rFonts w:hint="eastAsia"/>
              </w:rPr>
              <w:t>单体建筑面积在5000平方米以上的新建国家机关办公建筑和2万平方米以上的新建大型公共建筑，以及进行节能改造的既有公共建筑，应设置分类、分级用能远传计量系统，且设置能源管理系统实现对建筑能耗的监测、数据分析和管理（或接入能源监测平台，实现建筑能耗的监测、数据分析和管理）</w:t>
            </w:r>
          </w:p>
        </w:tc>
      </w:tr>
      <w:tr>
        <w:tblPrEx>
          <w:tblLayout w:type="fixed"/>
          <w:tblCellMar>
            <w:top w:w="0" w:type="dxa"/>
            <w:left w:w="0" w:type="dxa"/>
            <w:bottom w:w="0" w:type="dxa"/>
            <w:right w:w="0" w:type="dxa"/>
          </w:tblCellMar>
        </w:tblPrEx>
        <w:trPr>
          <w:trHeight w:val="3140" w:hRule="atLeast"/>
        </w:trPr>
        <w:tc>
          <w:tcPr>
            <w:tcW w:w="762" w:type="dxa"/>
            <w:vMerge w:val="restart"/>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pPr>
            <w:r>
              <w:rPr>
                <w:rFonts w:hint="eastAsia"/>
              </w:rPr>
              <w:t>3</w:t>
            </w:r>
          </w:p>
        </w:tc>
        <w:tc>
          <w:tcPr>
            <w:tcW w:w="1331" w:type="dxa"/>
            <w:vMerge w:val="restart"/>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pPr>
            <w:r>
              <w:rPr>
                <w:rFonts w:hint="eastAsia"/>
              </w:rPr>
              <w:t>绿色建筑与绿色生态片区发展</w:t>
            </w:r>
          </w:p>
        </w:tc>
        <w:tc>
          <w:tcPr>
            <w:tcW w:w="1486" w:type="dxa"/>
            <w:vMerge w:val="restart"/>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pPr>
            <w:r>
              <w:rPr>
                <w:rFonts w:hint="eastAsia"/>
              </w:rPr>
              <w:t>绿色建筑</w:t>
            </w:r>
          </w:p>
        </w:tc>
        <w:tc>
          <w:tcPr>
            <w:tcW w:w="497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jc w:val="left"/>
            </w:pPr>
            <w:r>
              <w:rPr>
                <w:rFonts w:hint="eastAsia"/>
              </w:rPr>
              <w:t xml:space="preserve">全市行政区范围内，符合以下标准的新建民用建筑应达到绿色建筑基本级标准。 </w:t>
            </w:r>
            <w:r>
              <w:rPr>
                <w:rFonts w:hint="eastAsia"/>
              </w:rPr>
              <w:br w:type="textWrapping"/>
            </w:r>
            <w:r>
              <w:rPr>
                <w:rFonts w:hint="eastAsia"/>
              </w:rPr>
              <w:t xml:space="preserve">（（1）建筑面积大于 1000平方米或超过五层的政府投资的国家机关、学校、医院、博物馆、科技馆、体育馆等建筑； </w:t>
            </w:r>
            <w:r>
              <w:rPr>
                <w:rFonts w:hint="eastAsia"/>
              </w:rPr>
              <w:br w:type="textWrapping"/>
            </w:r>
            <w:r>
              <w:rPr>
                <w:rFonts w:hint="eastAsia"/>
              </w:rPr>
              <w:t>（2）建筑面积大于 1000平方米或超过五层的住宅建筑；</w:t>
            </w:r>
            <w:r>
              <w:rPr>
                <w:rFonts w:hint="eastAsia"/>
              </w:rPr>
              <w:br w:type="textWrapping"/>
            </w:r>
            <w:r>
              <w:rPr>
                <w:rFonts w:hint="eastAsia"/>
              </w:rPr>
              <w:t>（3）单体建筑面积超过 2万平方米的机场、车站、宾 馆、饭店、商场、写字楼等大型公共建筑。</w:t>
            </w:r>
          </w:p>
        </w:tc>
      </w:tr>
      <w:tr>
        <w:tblPrEx>
          <w:tblLayout w:type="fixed"/>
          <w:tblCellMar>
            <w:top w:w="0" w:type="dxa"/>
            <w:left w:w="0" w:type="dxa"/>
            <w:bottom w:w="0" w:type="dxa"/>
            <w:right w:w="0" w:type="dxa"/>
          </w:tblCellMar>
        </w:tblPrEx>
        <w:trPr>
          <w:trHeight w:val="2920" w:hRule="atLeast"/>
        </w:trPr>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pPr>
          </w:p>
        </w:tc>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pPr>
          </w:p>
        </w:tc>
        <w:tc>
          <w:tcPr>
            <w:tcW w:w="1486"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pPr>
          </w:p>
        </w:tc>
        <w:tc>
          <w:tcPr>
            <w:tcW w:w="497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jc w:val="left"/>
            </w:pPr>
            <w:r>
              <w:rPr>
                <w:rFonts w:hint="eastAsia"/>
              </w:rPr>
              <w:t>海棠湾、亚龙湾、大三亚湾（包含大东海、三亚湾、红塘湾和南山一带）、崖州湾等区域，以及崖州湾科技城、中央商务区、海棠湾国家海岸休闲园区等三大园区，新(改、扩)建的单体建筑面积5000平方米及以上的，或项目总建筑面积2万平方米及以上的宾馆、饭店、商场、写字楼等公共建筑，应执行绿色建筑标准，其中单体建筑面积2万平方米及以上的应执行高星级绿色建筑标准。</w:t>
            </w:r>
          </w:p>
        </w:tc>
      </w:tr>
      <w:tr>
        <w:tblPrEx>
          <w:tblLayout w:type="fixed"/>
          <w:tblCellMar>
            <w:top w:w="0" w:type="dxa"/>
            <w:left w:w="0" w:type="dxa"/>
            <w:bottom w:w="0" w:type="dxa"/>
            <w:right w:w="0" w:type="dxa"/>
          </w:tblCellMar>
        </w:tblPrEx>
        <w:trPr>
          <w:trHeight w:val="1400" w:hRule="atLeast"/>
        </w:trPr>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pPr>
          </w:p>
        </w:tc>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pPr>
          </w:p>
        </w:tc>
        <w:tc>
          <w:tcPr>
            <w:tcW w:w="1486"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pPr>
          </w:p>
        </w:tc>
        <w:tc>
          <w:tcPr>
            <w:tcW w:w="497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jc w:val="left"/>
            </w:pPr>
            <w:r>
              <w:rPr>
                <w:rFonts w:hint="eastAsia"/>
              </w:rPr>
              <w:t>崖州湾科技城、中央商务区、海棠湾国家海岸休闲园区等三大重点园区，政府投资项目及新建建筑面积10万平方米以上的住宅小区应执行高星级绿色建筑标准。</w:t>
            </w:r>
          </w:p>
        </w:tc>
      </w:tr>
      <w:tr>
        <w:tblPrEx>
          <w:tblLayout w:type="fixed"/>
          <w:tblCellMar>
            <w:top w:w="0" w:type="dxa"/>
            <w:left w:w="0" w:type="dxa"/>
            <w:bottom w:w="0" w:type="dxa"/>
            <w:right w:w="0" w:type="dxa"/>
          </w:tblCellMar>
        </w:tblPrEx>
        <w:trPr>
          <w:trHeight w:val="1800" w:hRule="atLeast"/>
        </w:trPr>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pPr>
          </w:p>
        </w:tc>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pPr>
          </w:p>
        </w:tc>
        <w:tc>
          <w:tcPr>
            <w:tcW w:w="1486" w:type="dxa"/>
            <w:vMerge w:val="restart"/>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pPr>
            <w:r>
              <w:rPr>
                <w:rFonts w:hint="eastAsia"/>
              </w:rPr>
              <w:t>绿色生态片区</w:t>
            </w:r>
          </w:p>
        </w:tc>
        <w:tc>
          <w:tcPr>
            <w:tcW w:w="497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jc w:val="left"/>
            </w:pPr>
            <w:r>
              <w:rPr>
                <w:rFonts w:hint="eastAsia"/>
              </w:rPr>
              <w:t xml:space="preserve">用地面积大于4公顷或地上总建筑面积大于5万平方米的住宅小区应按绿色生态小区标准建设。绿色生态小区中20%以上建筑应按二星级及以上绿色建筑标准建设。 </w:t>
            </w:r>
          </w:p>
        </w:tc>
      </w:tr>
      <w:tr>
        <w:tblPrEx>
          <w:tblLayout w:type="fixed"/>
          <w:tblCellMar>
            <w:top w:w="0" w:type="dxa"/>
            <w:left w:w="0" w:type="dxa"/>
            <w:bottom w:w="0" w:type="dxa"/>
            <w:right w:w="0" w:type="dxa"/>
          </w:tblCellMar>
        </w:tblPrEx>
        <w:trPr>
          <w:trHeight w:val="1500" w:hRule="atLeast"/>
        </w:trPr>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pPr>
          </w:p>
        </w:tc>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pPr>
          </w:p>
        </w:tc>
        <w:tc>
          <w:tcPr>
            <w:tcW w:w="1486"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pPr>
          </w:p>
        </w:tc>
        <w:tc>
          <w:tcPr>
            <w:tcW w:w="497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jc w:val="left"/>
            </w:pPr>
            <w:r>
              <w:rPr>
                <w:rFonts w:hint="eastAsia"/>
              </w:rPr>
              <w:t xml:space="preserve">鼓励结合新区建设和旧城改造，对总规划用地面积3平方公里及以上的新建城市开发区、功能区、新城区等，按绿色生态城区的要求进行规划、设计、施工、运行。 </w:t>
            </w:r>
          </w:p>
        </w:tc>
      </w:tr>
      <w:tr>
        <w:tblPrEx>
          <w:tblLayout w:type="fixed"/>
          <w:tblCellMar>
            <w:top w:w="0" w:type="dxa"/>
            <w:left w:w="0" w:type="dxa"/>
            <w:bottom w:w="0" w:type="dxa"/>
            <w:right w:w="0" w:type="dxa"/>
          </w:tblCellMar>
        </w:tblPrEx>
        <w:trPr>
          <w:trHeight w:val="1720" w:hRule="atLeast"/>
        </w:trPr>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pPr>
          </w:p>
        </w:tc>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pPr>
          </w:p>
        </w:tc>
        <w:tc>
          <w:tcPr>
            <w:tcW w:w="14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pPr>
            <w:r>
              <w:rPr>
                <w:rFonts w:hint="eastAsia"/>
              </w:rPr>
              <w:t>装配式建筑</w:t>
            </w:r>
          </w:p>
        </w:tc>
        <w:tc>
          <w:tcPr>
            <w:tcW w:w="497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jc w:val="left"/>
            </w:pPr>
            <w:r>
              <w:rPr>
                <w:rFonts w:hint="eastAsia"/>
              </w:rPr>
              <w:t>新建商品住宅项目、政府投资的新建公共建筑以及社会投资总建筑面积3万平方米以上或单体建筑面积2万平方米以上的新建商业、办公等公共建筑项目，具备条件的全部采用装配式方式建造；到2022年，具备条件的新建建筑原则上全部采用装配式方式进行建造。</w:t>
            </w:r>
          </w:p>
        </w:tc>
      </w:tr>
      <w:tr>
        <w:tblPrEx>
          <w:tblLayout w:type="fixed"/>
          <w:tblCellMar>
            <w:top w:w="0" w:type="dxa"/>
            <w:left w:w="0" w:type="dxa"/>
            <w:bottom w:w="0" w:type="dxa"/>
            <w:right w:w="0" w:type="dxa"/>
          </w:tblCellMar>
        </w:tblPrEx>
        <w:trPr>
          <w:trHeight w:val="2200" w:hRule="atLeast"/>
        </w:trPr>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pPr>
          </w:p>
        </w:tc>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pPr>
          </w:p>
        </w:tc>
        <w:tc>
          <w:tcPr>
            <w:tcW w:w="14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pPr>
            <w:r>
              <w:rPr>
                <w:rFonts w:hint="eastAsia"/>
              </w:rPr>
              <w:t>绿色建材</w:t>
            </w:r>
          </w:p>
        </w:tc>
        <w:tc>
          <w:tcPr>
            <w:tcW w:w="497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jc w:val="left"/>
            </w:pPr>
            <w:r>
              <w:rPr>
                <w:rFonts w:hint="eastAsia"/>
              </w:rPr>
              <w:t>重点推广新型墙体材料、高强度钢筋、高性能混凝土、预拌砂浆以及预制装配式建筑构部件等建材产品材料的工程应用。加大对落后建材产业的淘汰力度，推动传统建材产业技术改造、转型升级，鼓励科研单位和生产企业开展绿色建材的研究和生产，鼓励企业研发产品申请绿色建材评价标识。</w:t>
            </w:r>
          </w:p>
        </w:tc>
      </w:tr>
      <w:tr>
        <w:tblPrEx>
          <w:tblLayout w:type="fixed"/>
          <w:tblCellMar>
            <w:top w:w="0" w:type="dxa"/>
            <w:left w:w="0" w:type="dxa"/>
            <w:bottom w:w="0" w:type="dxa"/>
            <w:right w:w="0" w:type="dxa"/>
          </w:tblCellMar>
        </w:tblPrEx>
        <w:trPr>
          <w:trHeight w:val="1900" w:hRule="atLeast"/>
        </w:trPr>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pPr>
          </w:p>
        </w:tc>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pPr>
          </w:p>
        </w:tc>
        <w:tc>
          <w:tcPr>
            <w:tcW w:w="14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pPr>
            <w:r>
              <w:rPr>
                <w:rFonts w:hint="eastAsia"/>
              </w:rPr>
              <w:t>建筑信息化发展</w:t>
            </w:r>
          </w:p>
        </w:tc>
        <w:tc>
          <w:tcPr>
            <w:tcW w:w="497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jc w:val="left"/>
            </w:pPr>
            <w:r>
              <w:rPr>
                <w:rFonts w:hint="eastAsia"/>
              </w:rPr>
              <w:t>在大型公共建筑和大片住宅区建设中推广BIM设计施工运营全过程技术应用。选择单体建筑面积大于2万平方米的技术复杂、管理协同要求高的工程开展应用示范。鼓励有条件的绿色生态城区（小区）成片推广BIM应用。</w:t>
            </w:r>
          </w:p>
        </w:tc>
      </w:tr>
      <w:tr>
        <w:tblPrEx>
          <w:tblLayout w:type="fixed"/>
          <w:tblCellMar>
            <w:top w:w="0" w:type="dxa"/>
            <w:left w:w="0" w:type="dxa"/>
            <w:bottom w:w="0" w:type="dxa"/>
            <w:right w:w="0" w:type="dxa"/>
          </w:tblCellMar>
        </w:tblPrEx>
        <w:trPr>
          <w:trHeight w:val="2060" w:hRule="atLeast"/>
        </w:trPr>
        <w:tc>
          <w:tcPr>
            <w:tcW w:w="762" w:type="dxa"/>
            <w:vMerge w:val="restart"/>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pPr>
            <w:r>
              <w:rPr>
                <w:rFonts w:hint="eastAsia"/>
              </w:rPr>
              <w:t>4</w:t>
            </w:r>
          </w:p>
        </w:tc>
        <w:tc>
          <w:tcPr>
            <w:tcW w:w="1331" w:type="dxa"/>
            <w:vMerge w:val="restart"/>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pPr>
            <w:r>
              <w:rPr>
                <w:rFonts w:hint="eastAsia"/>
              </w:rPr>
              <w:t>节能运行管理</w:t>
            </w:r>
          </w:p>
        </w:tc>
        <w:tc>
          <w:tcPr>
            <w:tcW w:w="1486" w:type="dxa"/>
            <w:vMerge w:val="restart"/>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pPr>
            <w:r>
              <w:rPr>
                <w:rFonts w:hint="eastAsia"/>
              </w:rPr>
              <w:t>能耗监测</w:t>
            </w:r>
          </w:p>
        </w:tc>
        <w:tc>
          <w:tcPr>
            <w:tcW w:w="497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jc w:val="left"/>
            </w:pPr>
            <w:r>
              <w:rPr>
                <w:rFonts w:hint="eastAsia"/>
              </w:rPr>
              <w:t>积极落实《海南省国家机关办公建筑和大型公共建筑能耗监测系统管理办法》相关要求，继续推进国家机关办公建筑以及大型公共建筑安装分项计量装置，连接省级能耗监测平台，进行建筑能耗数据的实时动态监测。</w:t>
            </w:r>
          </w:p>
        </w:tc>
      </w:tr>
      <w:tr>
        <w:tblPrEx>
          <w:tblLayout w:type="fixed"/>
          <w:tblCellMar>
            <w:top w:w="0" w:type="dxa"/>
            <w:left w:w="0" w:type="dxa"/>
            <w:bottom w:w="0" w:type="dxa"/>
            <w:right w:w="0" w:type="dxa"/>
          </w:tblCellMar>
        </w:tblPrEx>
        <w:trPr>
          <w:trHeight w:val="1170" w:hRule="atLeast"/>
        </w:trPr>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pPr>
          </w:p>
        </w:tc>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pPr>
          </w:p>
        </w:tc>
        <w:tc>
          <w:tcPr>
            <w:tcW w:w="1486"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pPr>
          </w:p>
        </w:tc>
        <w:tc>
          <w:tcPr>
            <w:tcW w:w="497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jc w:val="left"/>
            </w:pPr>
            <w:r>
              <w:rPr>
                <w:rFonts w:hint="eastAsia"/>
              </w:rPr>
              <w:t>对于已接入能耗监测平台的既有建筑改造和新建建筑，应制定年度工作计划，指导和监督监测平台和建筑项目做好日常运行维护、数据统计以及节能管理。</w:t>
            </w:r>
          </w:p>
        </w:tc>
      </w:tr>
      <w:tr>
        <w:tblPrEx>
          <w:tblLayout w:type="fixed"/>
          <w:tblCellMar>
            <w:top w:w="0" w:type="dxa"/>
            <w:left w:w="0" w:type="dxa"/>
            <w:bottom w:w="0" w:type="dxa"/>
            <w:right w:w="0" w:type="dxa"/>
          </w:tblCellMar>
        </w:tblPrEx>
        <w:trPr>
          <w:trHeight w:val="1065" w:hRule="atLeast"/>
        </w:trPr>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pPr>
          </w:p>
        </w:tc>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pPr>
          </w:p>
        </w:tc>
        <w:tc>
          <w:tcPr>
            <w:tcW w:w="1486" w:type="dxa"/>
            <w:vMerge w:val="restart"/>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pPr>
            <w:r>
              <w:rPr>
                <w:rFonts w:hint="eastAsia"/>
              </w:rPr>
              <w:t>既有建筑节能改造</w:t>
            </w:r>
          </w:p>
        </w:tc>
        <w:tc>
          <w:tcPr>
            <w:tcW w:w="497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jc w:val="left"/>
            </w:pPr>
            <w:r>
              <w:rPr>
                <w:rFonts w:hint="eastAsia"/>
              </w:rPr>
              <w:t>以既有政府机关办公建筑、大型酒店和商场为重点，实现公共建筑节能监管全覆盖、实施公共建筑能耗限额制度。</w:t>
            </w:r>
          </w:p>
        </w:tc>
      </w:tr>
      <w:tr>
        <w:tblPrEx>
          <w:tblLayout w:type="fixed"/>
          <w:tblCellMar>
            <w:top w:w="0" w:type="dxa"/>
            <w:left w:w="0" w:type="dxa"/>
            <w:bottom w:w="0" w:type="dxa"/>
            <w:right w:w="0" w:type="dxa"/>
          </w:tblCellMar>
        </w:tblPrEx>
        <w:trPr>
          <w:trHeight w:val="2040" w:hRule="atLeast"/>
        </w:trPr>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pPr>
          </w:p>
        </w:tc>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pPr>
          </w:p>
        </w:tc>
        <w:tc>
          <w:tcPr>
            <w:tcW w:w="1486"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pPr>
          </w:p>
        </w:tc>
        <w:tc>
          <w:tcPr>
            <w:tcW w:w="497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jc w:val="left"/>
            </w:pPr>
            <w:r>
              <w:rPr>
                <w:rFonts w:hint="eastAsia"/>
              </w:rPr>
              <w:t>将高于能耗定额或建筑用能设备不能满足使用要求（或已为淘汰产品的）并有节能改造潜力的政府机关办公建筑和大型公共建筑作为节能改造示范项目，其中建筑面积大于5000平米的政府办公建筑以及单体建筑面积大于10000平方米的公共建筑应实行既有建筑节能改造。</w:t>
            </w:r>
          </w:p>
        </w:tc>
      </w:tr>
      <w:tr>
        <w:tblPrEx>
          <w:tblLayout w:type="fixed"/>
          <w:tblCellMar>
            <w:top w:w="0" w:type="dxa"/>
            <w:left w:w="0" w:type="dxa"/>
            <w:bottom w:w="0" w:type="dxa"/>
            <w:right w:w="0" w:type="dxa"/>
          </w:tblCellMar>
        </w:tblPrEx>
        <w:trPr>
          <w:trHeight w:val="1448" w:hRule="atLeast"/>
        </w:trPr>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pPr>
          </w:p>
        </w:tc>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pPr>
          </w:p>
        </w:tc>
        <w:tc>
          <w:tcPr>
            <w:tcW w:w="14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pPr>
            <w:r>
              <w:rPr>
                <w:rFonts w:hint="eastAsia"/>
              </w:rPr>
              <w:t>小区绿色化改造示范</w:t>
            </w:r>
          </w:p>
        </w:tc>
        <w:tc>
          <w:tcPr>
            <w:tcW w:w="497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jc w:val="left"/>
            </w:pPr>
            <w:r>
              <w:rPr>
                <w:rFonts w:hint="eastAsia"/>
              </w:rPr>
              <w:t>选择1~2个具有改造需求的项目，对其进行建筑功能拓展、结构加固、遮阳设施、自然通风、绿色照明、可再生能源利用、海绵低影响设施、助老设施、环境综合整治等于一体的绿色化综合改造。</w:t>
            </w:r>
          </w:p>
        </w:tc>
      </w:tr>
      <w:tr>
        <w:tblPrEx>
          <w:tblLayout w:type="fixed"/>
          <w:tblCellMar>
            <w:top w:w="0" w:type="dxa"/>
            <w:left w:w="0" w:type="dxa"/>
            <w:bottom w:w="0" w:type="dxa"/>
            <w:right w:w="0" w:type="dxa"/>
          </w:tblCellMar>
        </w:tblPrEx>
        <w:trPr>
          <w:trHeight w:val="4400" w:hRule="atLeast"/>
        </w:trPr>
        <w:tc>
          <w:tcPr>
            <w:tcW w:w="762" w:type="dxa"/>
            <w:vMerge w:val="restart"/>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pPr>
            <w:r>
              <w:rPr>
                <w:rFonts w:hint="eastAsia"/>
              </w:rPr>
              <w:t>5</w:t>
            </w:r>
          </w:p>
        </w:tc>
        <w:tc>
          <w:tcPr>
            <w:tcW w:w="1331" w:type="dxa"/>
            <w:vMerge w:val="restart"/>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pPr>
            <w:r>
              <w:rPr>
                <w:rFonts w:hint="eastAsia"/>
              </w:rPr>
              <w:t>可再生能源应用</w:t>
            </w:r>
          </w:p>
        </w:tc>
        <w:tc>
          <w:tcPr>
            <w:tcW w:w="14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pPr>
            <w:r>
              <w:rPr>
                <w:rFonts w:hint="eastAsia"/>
              </w:rPr>
              <w:t>太阳能热水</w:t>
            </w:r>
          </w:p>
        </w:tc>
        <w:tc>
          <w:tcPr>
            <w:tcW w:w="497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jc w:val="left"/>
            </w:pPr>
            <w:r>
              <w:rPr>
                <w:rFonts w:hint="eastAsia"/>
              </w:rPr>
              <w:t>12层以下（含12层）的有使用需求的新建建筑应当统一配建太阳能热水系统。识别现阶段三亚市可再生能源建筑热水应用的合理模式，提出应用实施路径，及时调整发展方向，不断探索以应用效果为基础、经济适用性强的多能互补可再生能源建筑热水应用模式。</w:t>
            </w:r>
            <w:r>
              <w:rPr>
                <w:rFonts w:hint="eastAsia"/>
              </w:rPr>
              <w:br w:type="textWrapping"/>
            </w:r>
            <w:r>
              <w:rPr>
                <w:rFonts w:hint="eastAsia"/>
              </w:rPr>
              <w:t>对有条件安装太阳能系统、有稳定热水需求的住宅建筑、新建宿舍、公寓、医院住院部和酒店等建设项目，应按技术经济合理原则，推广安装太阳能热水系统。</w:t>
            </w:r>
            <w:r>
              <w:rPr>
                <w:rFonts w:hint="eastAsia"/>
              </w:rPr>
              <w:br w:type="textWrapping"/>
            </w:r>
            <w:r>
              <w:rPr>
                <w:rFonts w:hint="eastAsia"/>
              </w:rPr>
              <w:t>倡导既有建筑改造采用太阳能热水系统。鼓励采用集中集热、集中储热、分户加热的太阳能热水系统、空气源热泵辅助加热及其它更符合实际需求的应用形式，促进太阳能热水系统建筑应用稳步发展。</w:t>
            </w:r>
          </w:p>
        </w:tc>
      </w:tr>
      <w:tr>
        <w:tblPrEx>
          <w:tblLayout w:type="fixed"/>
          <w:tblCellMar>
            <w:top w:w="0" w:type="dxa"/>
            <w:left w:w="0" w:type="dxa"/>
            <w:bottom w:w="0" w:type="dxa"/>
            <w:right w:w="0" w:type="dxa"/>
          </w:tblCellMar>
        </w:tblPrEx>
        <w:trPr>
          <w:trHeight w:val="6980" w:hRule="atLeast"/>
        </w:trPr>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pPr>
          </w:p>
        </w:tc>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pPr>
          </w:p>
        </w:tc>
        <w:tc>
          <w:tcPr>
            <w:tcW w:w="14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pPr>
            <w:r>
              <w:rPr>
                <w:rFonts w:hint="eastAsia"/>
              </w:rPr>
              <w:t>太阳能光伏</w:t>
            </w:r>
          </w:p>
        </w:tc>
        <w:tc>
          <w:tcPr>
            <w:tcW w:w="497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jc w:val="left"/>
            </w:pPr>
            <w:r>
              <w:t>大力推进太阳能光伏建筑一体化工程：</w:t>
            </w:r>
            <w:r>
              <w:br w:type="textWrapping"/>
            </w:r>
            <w:r>
              <w:t>（1）积极推进公共机构分布式光伏发电规模化应用，充分利用既有的火车站、机场航站楼、综合交通枢纽屋顶、商业综合体、大型体育场馆、政府机关等公共机构推广应用分布式光伏发电，对于新建的公共建筑应要求实施光伏建筑一体化。</w:t>
            </w:r>
            <w:r>
              <w:br w:type="textWrapping"/>
            </w:r>
            <w:r>
              <w:t>（2）积极推进产业园区光伏发电规模化应用，大力支持具备稳定用电负荷、集中连片屋顶资源丰富、所发电力大部分可自行消化的各园区建设规模化分布式光伏发电系统。</w:t>
            </w:r>
            <w:r>
              <w:br w:type="textWrapping"/>
            </w:r>
            <w:r>
              <w:t>（3）积极推进居住建筑规模化应用分布式光伏发电系统。新建居住建筑、既有居住建筑在建筑设计和旧建筑改造中统筹实施光伏建筑一体化。对于常住人口不多、热水需求不大、十二层以上高层住宅项目可通过安装太阳能光伏系统替代太阳能热水系统。光伏系统的装机容量应满足该栋楼地下车库照明需求。</w:t>
            </w:r>
            <w:r>
              <w:br w:type="textWrapping"/>
            </w:r>
            <w:r>
              <w:t>（4）在农村地区和小城镇，推进居民屋顶光伏工程，结合新型城镇化、美丽乡村、扶贫工程建设等规划，开展村镇级光伏集中应用、农居光伏连片开发改造，根据实际情况采取适宜的发电模式，促进村镇清洁能源的应用发展，改善贫困村（户）的经济收入。</w:t>
            </w:r>
          </w:p>
        </w:tc>
      </w:tr>
      <w:tr>
        <w:tblPrEx>
          <w:tblLayout w:type="fixed"/>
          <w:tblCellMar>
            <w:top w:w="0" w:type="dxa"/>
            <w:left w:w="0" w:type="dxa"/>
            <w:bottom w:w="0" w:type="dxa"/>
            <w:right w:w="0" w:type="dxa"/>
          </w:tblCellMar>
        </w:tblPrEx>
        <w:trPr>
          <w:trHeight w:val="1940" w:hRule="atLeast"/>
        </w:trPr>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pPr>
          </w:p>
        </w:tc>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pPr>
          </w:p>
        </w:tc>
        <w:tc>
          <w:tcPr>
            <w:tcW w:w="14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pPr>
            <w:r>
              <w:rPr>
                <w:rFonts w:hint="eastAsia"/>
              </w:rPr>
              <w:t>可再生能源推广</w:t>
            </w:r>
          </w:p>
        </w:tc>
        <w:tc>
          <w:tcPr>
            <w:tcW w:w="497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jc w:val="left"/>
            </w:pPr>
            <w:r>
              <w:rPr>
                <w:rFonts w:hint="eastAsia"/>
              </w:rPr>
              <w:t>积极探索适宜本地的可再生能源应用新模式，利用风能、太阳能、水能、天然气等资源组合优势，鼓励发展空气源热泵制备热水等技术，积极推进储能等技术研发应用，拓展可再生能源建筑应用体系，鼓励多能互补应用模式。</w:t>
            </w:r>
          </w:p>
        </w:tc>
      </w:tr>
      <w:tr>
        <w:tblPrEx>
          <w:tblLayout w:type="fixed"/>
          <w:tblCellMar>
            <w:top w:w="0" w:type="dxa"/>
            <w:left w:w="0" w:type="dxa"/>
            <w:bottom w:w="0" w:type="dxa"/>
            <w:right w:w="0" w:type="dxa"/>
          </w:tblCellMar>
        </w:tblPrEx>
        <w:trPr>
          <w:trHeight w:val="2265" w:hRule="atLeast"/>
        </w:trPr>
        <w:tc>
          <w:tcPr>
            <w:tcW w:w="762" w:type="dxa"/>
            <w:vMerge w:val="restart"/>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pPr>
            <w:r>
              <w:rPr>
                <w:rFonts w:hint="eastAsia"/>
              </w:rPr>
              <w:t>6</w:t>
            </w:r>
          </w:p>
        </w:tc>
        <w:tc>
          <w:tcPr>
            <w:tcW w:w="1331" w:type="dxa"/>
            <w:vMerge w:val="restart"/>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pPr>
            <w:r>
              <w:rPr>
                <w:rFonts w:hint="eastAsia"/>
              </w:rPr>
              <w:t>监管体系建设</w:t>
            </w:r>
          </w:p>
        </w:tc>
        <w:tc>
          <w:tcPr>
            <w:tcW w:w="14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pPr>
            <w:r>
              <w:rPr>
                <w:rFonts w:hint="eastAsia"/>
              </w:rPr>
              <w:t>闭合监管体系</w:t>
            </w:r>
          </w:p>
        </w:tc>
        <w:tc>
          <w:tcPr>
            <w:tcW w:w="497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jc w:val="left"/>
            </w:pPr>
            <w:r>
              <w:rPr>
                <w:rFonts w:hint="eastAsia"/>
              </w:rPr>
              <w:t>目前，在建筑节能上，三亚已经形成了从设计、施工到竣工验收全过程的监管体系，在项目运行阶段，还应进一步完善能耗监测和监管体系。</w:t>
            </w:r>
            <w:r>
              <w:rPr>
                <w:rFonts w:hint="eastAsia"/>
              </w:rPr>
              <w:br w:type="textWrapping"/>
            </w:r>
            <w:r>
              <w:rPr>
                <w:rFonts w:hint="eastAsia"/>
              </w:rPr>
              <w:t>严格执行相关技术标准，在设计、施工、验收、运营阶段规范绿色建筑建设过程中的管理，并将绿色建筑纳入验收体系，落实绿色建筑相关技术措施。鼓励项目申报高星级绿色建筑标识。</w:t>
            </w:r>
          </w:p>
        </w:tc>
      </w:tr>
      <w:tr>
        <w:tblPrEx>
          <w:tblLayout w:type="fixed"/>
          <w:tblCellMar>
            <w:top w:w="0" w:type="dxa"/>
            <w:left w:w="0" w:type="dxa"/>
            <w:bottom w:w="0" w:type="dxa"/>
            <w:right w:w="0" w:type="dxa"/>
          </w:tblCellMar>
        </w:tblPrEx>
        <w:trPr>
          <w:trHeight w:val="2700" w:hRule="atLeast"/>
        </w:trPr>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pPr>
          </w:p>
        </w:tc>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pPr>
          </w:p>
        </w:tc>
        <w:tc>
          <w:tcPr>
            <w:tcW w:w="14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pPr>
            <w:r>
              <w:rPr>
                <w:rFonts w:hint="eastAsia"/>
              </w:rPr>
              <w:t>事中事后监管</w:t>
            </w:r>
          </w:p>
        </w:tc>
        <w:tc>
          <w:tcPr>
            <w:tcW w:w="497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jc w:val="left"/>
            </w:pPr>
            <w:r>
              <w:rPr>
                <w:rFonts w:hint="eastAsia"/>
              </w:rPr>
              <w:t>制定并实施加强事中事后监管的相关制度和监督检查办法，推行“双随机、一公开”的监管模式，并根据改革实施情况进行完善。</w:t>
            </w:r>
            <w:r>
              <w:rPr>
                <w:rFonts w:hint="eastAsia"/>
              </w:rPr>
              <w:br w:type="textWrapping"/>
            </w:r>
            <w:r>
              <w:rPr>
                <w:rFonts w:hint="eastAsia"/>
              </w:rPr>
              <w:t>对于实行告知承诺制的审批事项，依法制定监督管理办法，在规定时间内对申请人履行承诺的情况进行检查，对申请人未履行承诺的，依法依规撤销行政审批决定并追究申请人的相应责任。</w:t>
            </w:r>
          </w:p>
        </w:tc>
      </w:tr>
      <w:tr>
        <w:tblPrEx>
          <w:tblLayout w:type="fixed"/>
          <w:tblCellMar>
            <w:top w:w="0" w:type="dxa"/>
            <w:left w:w="0" w:type="dxa"/>
            <w:bottom w:w="0" w:type="dxa"/>
            <w:right w:w="0" w:type="dxa"/>
          </w:tblCellMar>
        </w:tblPrEx>
        <w:trPr>
          <w:trHeight w:val="2063" w:hRule="atLeast"/>
        </w:trPr>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pPr>
          </w:p>
        </w:tc>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pPr>
          </w:p>
        </w:tc>
        <w:tc>
          <w:tcPr>
            <w:tcW w:w="14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pPr>
            <w:r>
              <w:rPr>
                <w:rFonts w:hint="eastAsia"/>
              </w:rPr>
              <w:t>信用体系建设</w:t>
            </w:r>
          </w:p>
        </w:tc>
        <w:tc>
          <w:tcPr>
            <w:tcW w:w="497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jc w:val="left"/>
            </w:pPr>
            <w:r>
              <w:rPr>
                <w:rFonts w:hint="eastAsia"/>
              </w:rPr>
              <w:t>建立并实施红黑名单制度，明确应当列入红黑名单的情形。</w:t>
            </w:r>
            <w:r>
              <w:rPr>
                <w:rFonts w:hint="eastAsia"/>
              </w:rPr>
              <w:br w:type="textWrapping"/>
            </w:r>
            <w:r>
              <w:rPr>
                <w:rFonts w:hint="eastAsia"/>
              </w:rPr>
              <w:t>建立并完善信用监管体系，依托工程建设项目审批管理系统，建立工程建设项目审批信用信息平台，将企业和从业人员违法违规、不履行承诺的不良行为向社会公开。构建“一处失信、处处受限”的联合惩戒机制。</w:t>
            </w:r>
          </w:p>
        </w:tc>
      </w:tr>
    </w:tbl>
    <w:p>
      <w:r>
        <w:br w:type="page"/>
      </w:r>
    </w:p>
    <w:p>
      <w:pPr>
        <w:ind w:firstLine="562"/>
        <w:rPr>
          <w:b/>
          <w:bCs/>
        </w:rPr>
      </w:pPr>
      <w:r>
        <w:rPr>
          <w:rFonts w:hint="eastAsia"/>
          <w:b/>
          <w:bCs/>
        </w:rPr>
        <w:t>附件2：</w:t>
      </w:r>
    </w:p>
    <w:p>
      <w:pPr>
        <w:ind w:firstLine="0" w:firstLineChars="0"/>
        <w:jc w:val="center"/>
        <w:rPr>
          <w:color w:val="auto"/>
          <w:vertAlign w:val="superscript"/>
        </w:rPr>
      </w:pPr>
      <w:r>
        <w:rPr>
          <w:b/>
          <w:bCs/>
          <w:color w:val="auto"/>
        </w:rPr>
        <w:t>三亚市</w:t>
      </w:r>
      <w:r>
        <w:rPr>
          <w:rFonts w:hint="eastAsia"/>
          <w:b/>
          <w:bCs/>
          <w:color w:val="auto"/>
        </w:rPr>
        <w:t>公共</w:t>
      </w:r>
      <w:r>
        <w:rPr>
          <w:b/>
          <w:bCs/>
          <w:color w:val="auto"/>
        </w:rPr>
        <w:t>建筑能耗指标</w:t>
      </w:r>
      <w:r>
        <w:rPr>
          <w:rFonts w:hint="eastAsia"/>
          <w:b/>
          <w:bCs/>
          <w:color w:val="auto"/>
        </w:rPr>
        <w:t>表</w:t>
      </w:r>
      <w:r>
        <w:rPr>
          <w:color w:val="auto"/>
        </w:rPr>
        <w:t>[kW</w:t>
      </w:r>
      <w:r>
        <w:rPr>
          <w:rFonts w:ascii="Calibri" w:hAnsi="Calibri" w:cs="Calibri"/>
          <w:color w:val="auto"/>
        </w:rPr>
        <w:t>·</w:t>
      </w:r>
      <w:r>
        <w:rPr>
          <w:color w:val="auto"/>
        </w:rPr>
        <w:t>h/(</w:t>
      </w:r>
      <w:r>
        <w:rPr>
          <w:rFonts w:hint="eastAsia"/>
          <w:color w:val="auto"/>
        </w:rPr>
        <w:t>㎡</w:t>
      </w:r>
      <w:r>
        <w:rPr>
          <w:color w:val="auto"/>
        </w:rPr>
        <w:t>a)]</w:t>
      </w:r>
    </w:p>
    <w:tbl>
      <w:tblPr>
        <w:tblStyle w:val="39"/>
        <w:tblW w:w="8040" w:type="dxa"/>
        <w:tblInd w:w="0" w:type="dxa"/>
        <w:tblLayout w:type="fixed"/>
        <w:tblCellMar>
          <w:top w:w="0" w:type="dxa"/>
          <w:left w:w="0" w:type="dxa"/>
          <w:bottom w:w="0" w:type="dxa"/>
          <w:right w:w="0" w:type="dxa"/>
        </w:tblCellMar>
      </w:tblPr>
      <w:tblGrid>
        <w:gridCol w:w="2499"/>
        <w:gridCol w:w="729"/>
        <w:gridCol w:w="2496"/>
        <w:gridCol w:w="1158"/>
        <w:gridCol w:w="1158"/>
      </w:tblGrid>
      <w:tr>
        <w:tblPrEx>
          <w:tblLayout w:type="fixed"/>
          <w:tblCellMar>
            <w:top w:w="0" w:type="dxa"/>
            <w:left w:w="0" w:type="dxa"/>
            <w:bottom w:w="0" w:type="dxa"/>
            <w:right w:w="0" w:type="dxa"/>
          </w:tblCellMar>
        </w:tblPrEx>
        <w:trPr>
          <w:trHeight w:val="325" w:hRule="atLeast"/>
        </w:trPr>
        <w:tc>
          <w:tcPr>
            <w:tcW w:w="2499"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b/>
                <w:bCs/>
                <w:color w:val="auto"/>
              </w:rPr>
            </w:pPr>
            <w:r>
              <w:rPr>
                <w:rFonts w:ascii="Times New Roman" w:hAnsi="Times New Roman"/>
                <w:b/>
                <w:bCs/>
                <w:color w:val="auto"/>
              </w:rPr>
              <w:t>类型</w:t>
            </w:r>
          </w:p>
        </w:tc>
        <w:tc>
          <w:tcPr>
            <w:tcW w:w="729"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b/>
                <w:bCs/>
                <w:color w:val="auto"/>
              </w:rPr>
            </w:pPr>
            <w:r>
              <w:rPr>
                <w:rFonts w:ascii="Times New Roman" w:hAnsi="Times New Roman"/>
                <w:b/>
                <w:bCs/>
                <w:color w:val="auto"/>
              </w:rPr>
              <w:t>类别</w:t>
            </w:r>
          </w:p>
        </w:tc>
        <w:tc>
          <w:tcPr>
            <w:tcW w:w="2496"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b/>
                <w:bCs/>
                <w:color w:val="auto"/>
              </w:rPr>
            </w:pPr>
            <w:r>
              <w:rPr>
                <w:rFonts w:ascii="Times New Roman" w:hAnsi="Times New Roman"/>
                <w:b/>
                <w:bCs/>
                <w:color w:val="auto"/>
              </w:rPr>
              <w:t>分项</w:t>
            </w:r>
          </w:p>
        </w:tc>
        <w:tc>
          <w:tcPr>
            <w:tcW w:w="2316"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ind w:firstLine="0" w:firstLineChars="0"/>
              <w:jc w:val="center"/>
              <w:rPr>
                <w:b/>
                <w:bCs/>
                <w:color w:val="auto"/>
              </w:rPr>
            </w:pPr>
            <w:r>
              <w:rPr>
                <w:b/>
                <w:bCs/>
                <w:color w:val="auto"/>
                <w:sz w:val="21"/>
                <w:szCs w:val="21"/>
              </w:rPr>
              <w:t>标准</w:t>
            </w:r>
          </w:p>
        </w:tc>
      </w:tr>
      <w:tr>
        <w:tblPrEx>
          <w:tblLayout w:type="fixed"/>
          <w:tblCellMar>
            <w:top w:w="0" w:type="dxa"/>
            <w:left w:w="0" w:type="dxa"/>
            <w:bottom w:w="0" w:type="dxa"/>
            <w:right w:w="0" w:type="dxa"/>
          </w:tblCellMar>
        </w:tblPrEx>
        <w:trPr>
          <w:trHeight w:val="325" w:hRule="atLeast"/>
        </w:trPr>
        <w:tc>
          <w:tcPr>
            <w:tcW w:w="2499"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b/>
                <w:bCs/>
                <w:color w:val="auto"/>
              </w:rPr>
            </w:pPr>
          </w:p>
        </w:tc>
        <w:tc>
          <w:tcPr>
            <w:tcW w:w="729"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b/>
                <w:bCs/>
                <w:color w:val="auto"/>
              </w:rPr>
            </w:pPr>
          </w:p>
        </w:tc>
        <w:tc>
          <w:tcPr>
            <w:tcW w:w="2496"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b/>
                <w:bCs/>
                <w:color w:val="auto"/>
              </w:rPr>
            </w:pP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b/>
                <w:bCs/>
                <w:color w:val="auto"/>
              </w:rPr>
            </w:pPr>
            <w:r>
              <w:rPr>
                <w:rFonts w:ascii="Times New Roman" w:hAnsi="Times New Roman"/>
                <w:b/>
                <w:bCs/>
                <w:color w:val="auto"/>
              </w:rPr>
              <w:t>约束值</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b/>
                <w:bCs/>
                <w:color w:val="auto"/>
              </w:rPr>
            </w:pPr>
            <w:r>
              <w:rPr>
                <w:rFonts w:ascii="Times New Roman" w:hAnsi="Times New Roman"/>
                <w:b/>
                <w:bCs/>
                <w:color w:val="auto"/>
              </w:rPr>
              <w:t>引导值</w:t>
            </w:r>
          </w:p>
        </w:tc>
      </w:tr>
      <w:tr>
        <w:tblPrEx>
          <w:tblLayout w:type="fixed"/>
          <w:tblCellMar>
            <w:top w:w="0" w:type="dxa"/>
            <w:left w:w="0" w:type="dxa"/>
            <w:bottom w:w="0" w:type="dxa"/>
            <w:right w:w="0" w:type="dxa"/>
          </w:tblCellMar>
        </w:tblPrEx>
        <w:trPr>
          <w:trHeight w:val="349" w:hRule="atLeast"/>
        </w:trPr>
        <w:tc>
          <w:tcPr>
            <w:tcW w:w="249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党政机关办公</w:t>
            </w:r>
          </w:p>
        </w:tc>
        <w:tc>
          <w:tcPr>
            <w:tcW w:w="7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249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hint="eastAsia" w:ascii="Times New Roman" w:hAnsi="Times New Roman"/>
                <w:color w:val="auto"/>
              </w:rPr>
              <w:t>-</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65</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50</w:t>
            </w:r>
          </w:p>
        </w:tc>
      </w:tr>
      <w:tr>
        <w:tblPrEx>
          <w:tblLayout w:type="fixed"/>
          <w:tblCellMar>
            <w:top w:w="0" w:type="dxa"/>
            <w:left w:w="0" w:type="dxa"/>
            <w:bottom w:w="0" w:type="dxa"/>
            <w:right w:w="0" w:type="dxa"/>
          </w:tblCellMar>
        </w:tblPrEx>
        <w:trPr>
          <w:trHeight w:val="90" w:hRule="atLeast"/>
        </w:trPr>
        <w:tc>
          <w:tcPr>
            <w:tcW w:w="249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非党政机关办公</w:t>
            </w:r>
          </w:p>
        </w:tc>
        <w:tc>
          <w:tcPr>
            <w:tcW w:w="7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249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hint="eastAsia" w:ascii="Times New Roman" w:hAnsi="Times New Roman"/>
                <w:color w:val="auto"/>
              </w:rPr>
              <w:t>-</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80</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65</w:t>
            </w:r>
          </w:p>
        </w:tc>
      </w:tr>
      <w:tr>
        <w:tblPrEx>
          <w:tblLayout w:type="fixed"/>
          <w:tblCellMar>
            <w:top w:w="0" w:type="dxa"/>
            <w:left w:w="0" w:type="dxa"/>
            <w:bottom w:w="0" w:type="dxa"/>
            <w:right w:w="0" w:type="dxa"/>
          </w:tblCellMar>
        </w:tblPrEx>
        <w:trPr>
          <w:trHeight w:val="349" w:hRule="atLeast"/>
        </w:trPr>
        <w:tc>
          <w:tcPr>
            <w:tcW w:w="2499"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旅馆</w:t>
            </w:r>
          </w:p>
        </w:tc>
        <w:tc>
          <w:tcPr>
            <w:tcW w:w="729"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A类</w:t>
            </w:r>
          </w:p>
        </w:tc>
        <w:tc>
          <w:tcPr>
            <w:tcW w:w="249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三星级</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100</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80</w:t>
            </w:r>
          </w:p>
        </w:tc>
      </w:tr>
      <w:tr>
        <w:tblPrEx>
          <w:tblLayout w:type="fixed"/>
          <w:tblCellMar>
            <w:top w:w="0" w:type="dxa"/>
            <w:left w:w="0" w:type="dxa"/>
            <w:bottom w:w="0" w:type="dxa"/>
            <w:right w:w="0" w:type="dxa"/>
          </w:tblCellMar>
        </w:tblPrEx>
        <w:trPr>
          <w:trHeight w:val="349" w:hRule="atLeast"/>
        </w:trPr>
        <w:tc>
          <w:tcPr>
            <w:tcW w:w="2499" w:type="dxa"/>
            <w:vMerge w:val="continue"/>
            <w:tcBorders>
              <w:left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729" w:type="dxa"/>
            <w:vMerge w:val="continue"/>
            <w:tcBorders>
              <w:left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249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四星级</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hint="eastAsia" w:ascii="Times New Roman" w:hAnsi="Times New Roman"/>
                <w:color w:val="auto"/>
              </w:rPr>
              <w:t>114</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100</w:t>
            </w:r>
          </w:p>
        </w:tc>
      </w:tr>
      <w:tr>
        <w:tblPrEx>
          <w:tblLayout w:type="fixed"/>
          <w:tblCellMar>
            <w:top w:w="0" w:type="dxa"/>
            <w:left w:w="0" w:type="dxa"/>
            <w:bottom w:w="0" w:type="dxa"/>
            <w:right w:w="0" w:type="dxa"/>
          </w:tblCellMar>
        </w:tblPrEx>
        <w:trPr>
          <w:trHeight w:val="349" w:hRule="atLeast"/>
        </w:trPr>
        <w:tc>
          <w:tcPr>
            <w:tcW w:w="2499" w:type="dxa"/>
            <w:vMerge w:val="continue"/>
            <w:tcBorders>
              <w:left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729"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249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五星级</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130</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110</w:t>
            </w:r>
          </w:p>
        </w:tc>
      </w:tr>
      <w:tr>
        <w:tblPrEx>
          <w:tblLayout w:type="fixed"/>
          <w:tblCellMar>
            <w:top w:w="0" w:type="dxa"/>
            <w:left w:w="0" w:type="dxa"/>
            <w:bottom w:w="0" w:type="dxa"/>
            <w:right w:w="0" w:type="dxa"/>
          </w:tblCellMar>
        </w:tblPrEx>
        <w:trPr>
          <w:trHeight w:val="349" w:hRule="atLeast"/>
        </w:trPr>
        <w:tc>
          <w:tcPr>
            <w:tcW w:w="2499" w:type="dxa"/>
            <w:vMerge w:val="continue"/>
            <w:tcBorders>
              <w:left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729" w:type="dxa"/>
            <w:vMerge w:val="restart"/>
            <w:tcBorders>
              <w:left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B类</w:t>
            </w:r>
          </w:p>
        </w:tc>
        <w:tc>
          <w:tcPr>
            <w:tcW w:w="249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三星级</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100</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80</w:t>
            </w:r>
          </w:p>
        </w:tc>
      </w:tr>
      <w:tr>
        <w:tblPrEx>
          <w:tblLayout w:type="fixed"/>
          <w:tblCellMar>
            <w:top w:w="0" w:type="dxa"/>
            <w:left w:w="0" w:type="dxa"/>
            <w:bottom w:w="0" w:type="dxa"/>
            <w:right w:w="0" w:type="dxa"/>
          </w:tblCellMar>
        </w:tblPrEx>
        <w:trPr>
          <w:trHeight w:val="349" w:hRule="atLeast"/>
        </w:trPr>
        <w:tc>
          <w:tcPr>
            <w:tcW w:w="2499" w:type="dxa"/>
            <w:vMerge w:val="continue"/>
            <w:tcBorders>
              <w:left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729" w:type="dxa"/>
            <w:vMerge w:val="continue"/>
            <w:tcBorders>
              <w:left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249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四星级</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hint="eastAsia" w:ascii="Times New Roman" w:hAnsi="Times New Roman"/>
                <w:color w:val="auto"/>
              </w:rPr>
              <w:t>114</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100</w:t>
            </w:r>
          </w:p>
        </w:tc>
      </w:tr>
      <w:tr>
        <w:tblPrEx>
          <w:tblLayout w:type="fixed"/>
          <w:tblCellMar>
            <w:top w:w="0" w:type="dxa"/>
            <w:left w:w="0" w:type="dxa"/>
            <w:bottom w:w="0" w:type="dxa"/>
            <w:right w:w="0" w:type="dxa"/>
          </w:tblCellMar>
        </w:tblPrEx>
        <w:trPr>
          <w:trHeight w:val="349" w:hRule="atLeast"/>
        </w:trPr>
        <w:tc>
          <w:tcPr>
            <w:tcW w:w="2499"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729" w:type="dxa"/>
            <w:vMerge w:val="continue"/>
            <w:tcBorders>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249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五星级</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130</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110</w:t>
            </w:r>
          </w:p>
        </w:tc>
      </w:tr>
      <w:tr>
        <w:tblPrEx>
          <w:tblLayout w:type="fixed"/>
          <w:tblCellMar>
            <w:top w:w="0" w:type="dxa"/>
            <w:left w:w="0" w:type="dxa"/>
            <w:bottom w:w="0" w:type="dxa"/>
            <w:right w:w="0" w:type="dxa"/>
          </w:tblCellMar>
        </w:tblPrEx>
        <w:trPr>
          <w:trHeight w:val="349" w:hRule="atLeast"/>
        </w:trPr>
        <w:tc>
          <w:tcPr>
            <w:tcW w:w="2499" w:type="dxa"/>
            <w:vMerge w:val="restart"/>
            <w:tcBorders>
              <w:top w:val="single" w:color="000000" w:sz="4" w:space="0"/>
              <w:left w:val="single" w:color="000000" w:sz="4" w:space="0"/>
              <w:bottom w:val="single" w:color="000000" w:sz="4" w:space="0"/>
              <w:right w:val="single" w:color="auto"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商场</w:t>
            </w:r>
          </w:p>
        </w:tc>
        <w:tc>
          <w:tcPr>
            <w:tcW w:w="729" w:type="dxa"/>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A类</w:t>
            </w:r>
          </w:p>
        </w:tc>
        <w:tc>
          <w:tcPr>
            <w:tcW w:w="2496"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一般购物中心、百货</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120</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100</w:t>
            </w:r>
          </w:p>
        </w:tc>
      </w:tr>
      <w:tr>
        <w:tblPrEx>
          <w:tblLayout w:type="fixed"/>
          <w:tblCellMar>
            <w:top w:w="0" w:type="dxa"/>
            <w:left w:w="0" w:type="dxa"/>
            <w:bottom w:w="0" w:type="dxa"/>
            <w:right w:w="0" w:type="dxa"/>
          </w:tblCellMar>
        </w:tblPrEx>
        <w:trPr>
          <w:trHeight w:val="349" w:hRule="atLeast"/>
        </w:trPr>
        <w:tc>
          <w:tcPr>
            <w:tcW w:w="2499" w:type="dxa"/>
            <w:vMerge w:val="continue"/>
            <w:tcBorders>
              <w:top w:val="single" w:color="000000" w:sz="4" w:space="0"/>
              <w:left w:val="single" w:color="000000" w:sz="4" w:space="0"/>
              <w:bottom w:val="single" w:color="000000" w:sz="4" w:space="0"/>
              <w:right w:val="single" w:color="auto"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729"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2496"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一般超市</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135</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105</w:t>
            </w:r>
          </w:p>
        </w:tc>
      </w:tr>
      <w:tr>
        <w:tblPrEx>
          <w:tblLayout w:type="fixed"/>
          <w:tblCellMar>
            <w:top w:w="0" w:type="dxa"/>
            <w:left w:w="0" w:type="dxa"/>
            <w:bottom w:w="0" w:type="dxa"/>
            <w:right w:w="0" w:type="dxa"/>
          </w:tblCellMar>
        </w:tblPrEx>
        <w:trPr>
          <w:trHeight w:val="349" w:hRule="atLeast"/>
        </w:trPr>
        <w:tc>
          <w:tcPr>
            <w:tcW w:w="2499" w:type="dxa"/>
            <w:vMerge w:val="continue"/>
            <w:tcBorders>
              <w:top w:val="single" w:color="000000" w:sz="4" w:space="0"/>
              <w:left w:val="single" w:color="000000" w:sz="4" w:space="0"/>
              <w:bottom w:val="single" w:color="000000" w:sz="4" w:space="0"/>
              <w:right w:val="single" w:color="auto"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729" w:type="dxa"/>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B类</w:t>
            </w:r>
          </w:p>
        </w:tc>
        <w:tc>
          <w:tcPr>
            <w:tcW w:w="2496"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大型百货店</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245</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190</w:t>
            </w:r>
          </w:p>
        </w:tc>
      </w:tr>
      <w:tr>
        <w:tblPrEx>
          <w:tblLayout w:type="fixed"/>
          <w:tblCellMar>
            <w:top w:w="0" w:type="dxa"/>
            <w:left w:w="0" w:type="dxa"/>
            <w:bottom w:w="0" w:type="dxa"/>
            <w:right w:w="0" w:type="dxa"/>
          </w:tblCellMar>
        </w:tblPrEx>
        <w:trPr>
          <w:trHeight w:val="349" w:hRule="atLeast"/>
        </w:trPr>
        <w:tc>
          <w:tcPr>
            <w:tcW w:w="2499" w:type="dxa"/>
            <w:vMerge w:val="continue"/>
            <w:tcBorders>
              <w:top w:val="single" w:color="000000" w:sz="4" w:space="0"/>
              <w:left w:val="single" w:color="000000" w:sz="4" w:space="0"/>
              <w:bottom w:val="single" w:color="000000" w:sz="4" w:space="0"/>
              <w:right w:val="single" w:color="auto"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729"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2496"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大型购物中心</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300</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245</w:t>
            </w:r>
          </w:p>
        </w:tc>
      </w:tr>
      <w:tr>
        <w:tblPrEx>
          <w:tblLayout w:type="fixed"/>
          <w:tblCellMar>
            <w:top w:w="0" w:type="dxa"/>
            <w:left w:w="0" w:type="dxa"/>
            <w:bottom w:w="0" w:type="dxa"/>
            <w:right w:w="0" w:type="dxa"/>
          </w:tblCellMar>
        </w:tblPrEx>
        <w:trPr>
          <w:trHeight w:val="359" w:hRule="atLeast"/>
        </w:trPr>
        <w:tc>
          <w:tcPr>
            <w:tcW w:w="2499" w:type="dxa"/>
            <w:vMerge w:val="continue"/>
            <w:tcBorders>
              <w:top w:val="single" w:color="000000" w:sz="4" w:space="0"/>
              <w:left w:val="single" w:color="000000" w:sz="4" w:space="0"/>
              <w:bottom w:val="single" w:color="000000" w:sz="4" w:space="0"/>
              <w:right w:val="single" w:color="auto"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729"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2496"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大型超市</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290</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240</w:t>
            </w:r>
          </w:p>
        </w:tc>
      </w:tr>
      <w:tr>
        <w:tblPrEx>
          <w:tblLayout w:type="fixed"/>
          <w:tblCellMar>
            <w:top w:w="0" w:type="dxa"/>
            <w:left w:w="0" w:type="dxa"/>
            <w:bottom w:w="0" w:type="dxa"/>
            <w:right w:w="0" w:type="dxa"/>
          </w:tblCellMar>
        </w:tblPrEx>
        <w:trPr>
          <w:trHeight w:val="359" w:hRule="atLeast"/>
        </w:trPr>
        <w:tc>
          <w:tcPr>
            <w:tcW w:w="2499" w:type="dxa"/>
            <w:vMerge w:val="restart"/>
            <w:tcBorders>
              <w:top w:val="single" w:color="000000" w:sz="4" w:space="0"/>
              <w:left w:val="single" w:color="000000" w:sz="4" w:space="0"/>
              <w:right w:val="single" w:color="auto"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医疗机构</w:t>
            </w:r>
          </w:p>
        </w:tc>
        <w:tc>
          <w:tcPr>
            <w:tcW w:w="729"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2496"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一级医院</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61.8</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21.2</w:t>
            </w:r>
          </w:p>
        </w:tc>
      </w:tr>
      <w:tr>
        <w:tblPrEx>
          <w:tblLayout w:type="fixed"/>
          <w:tblCellMar>
            <w:top w:w="0" w:type="dxa"/>
            <w:left w:w="0" w:type="dxa"/>
            <w:bottom w:w="0" w:type="dxa"/>
            <w:right w:w="0" w:type="dxa"/>
          </w:tblCellMar>
        </w:tblPrEx>
        <w:trPr>
          <w:trHeight w:val="359" w:hRule="atLeast"/>
        </w:trPr>
        <w:tc>
          <w:tcPr>
            <w:tcW w:w="2499" w:type="dxa"/>
            <w:vMerge w:val="continue"/>
            <w:tcBorders>
              <w:left w:val="single" w:color="000000" w:sz="4" w:space="0"/>
              <w:right w:val="single" w:color="auto"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729"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2496"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二级医院</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124.8</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43.2</w:t>
            </w:r>
          </w:p>
        </w:tc>
      </w:tr>
      <w:tr>
        <w:tblPrEx>
          <w:tblLayout w:type="fixed"/>
          <w:tblCellMar>
            <w:top w:w="0" w:type="dxa"/>
            <w:left w:w="0" w:type="dxa"/>
            <w:bottom w:w="0" w:type="dxa"/>
            <w:right w:w="0" w:type="dxa"/>
          </w:tblCellMar>
        </w:tblPrEx>
        <w:trPr>
          <w:trHeight w:val="359" w:hRule="atLeast"/>
        </w:trPr>
        <w:tc>
          <w:tcPr>
            <w:tcW w:w="2499" w:type="dxa"/>
            <w:vMerge w:val="continue"/>
            <w:tcBorders>
              <w:left w:val="single" w:color="000000" w:sz="4" w:space="0"/>
              <w:bottom w:val="single" w:color="000000" w:sz="4" w:space="0"/>
              <w:right w:val="single" w:color="auto"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729"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2496"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三级医院</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184.8</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129.4</w:t>
            </w:r>
          </w:p>
        </w:tc>
      </w:tr>
      <w:tr>
        <w:tblPrEx>
          <w:tblLayout w:type="fixed"/>
          <w:tblCellMar>
            <w:top w:w="0" w:type="dxa"/>
            <w:left w:w="0" w:type="dxa"/>
            <w:bottom w:w="0" w:type="dxa"/>
            <w:right w:w="0" w:type="dxa"/>
          </w:tblCellMar>
        </w:tblPrEx>
        <w:trPr>
          <w:trHeight w:val="359" w:hRule="atLeast"/>
        </w:trPr>
        <w:tc>
          <w:tcPr>
            <w:tcW w:w="2499" w:type="dxa"/>
            <w:vMerge w:val="restart"/>
            <w:tcBorders>
              <w:top w:val="single" w:color="000000" w:sz="4" w:space="0"/>
              <w:left w:val="single" w:color="000000" w:sz="4" w:space="0"/>
              <w:right w:val="single" w:color="auto"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教育机构</w:t>
            </w:r>
          </w:p>
        </w:tc>
        <w:tc>
          <w:tcPr>
            <w:tcW w:w="729"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2496"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高等教育</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41.8</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17.4</w:t>
            </w:r>
          </w:p>
        </w:tc>
      </w:tr>
      <w:tr>
        <w:tblPrEx>
          <w:tblLayout w:type="fixed"/>
          <w:tblCellMar>
            <w:top w:w="0" w:type="dxa"/>
            <w:left w:w="0" w:type="dxa"/>
            <w:bottom w:w="0" w:type="dxa"/>
            <w:right w:w="0" w:type="dxa"/>
          </w:tblCellMar>
        </w:tblPrEx>
        <w:trPr>
          <w:trHeight w:val="359" w:hRule="atLeast"/>
        </w:trPr>
        <w:tc>
          <w:tcPr>
            <w:tcW w:w="2499" w:type="dxa"/>
            <w:vMerge w:val="continue"/>
            <w:tcBorders>
              <w:left w:val="single" w:color="000000" w:sz="4" w:space="0"/>
              <w:right w:val="single" w:color="auto"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729"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2496"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中等教育</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32.3</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10.2</w:t>
            </w:r>
          </w:p>
        </w:tc>
      </w:tr>
      <w:tr>
        <w:tblPrEx>
          <w:tblLayout w:type="fixed"/>
          <w:tblCellMar>
            <w:top w:w="0" w:type="dxa"/>
            <w:left w:w="0" w:type="dxa"/>
            <w:bottom w:w="0" w:type="dxa"/>
            <w:right w:w="0" w:type="dxa"/>
          </w:tblCellMar>
        </w:tblPrEx>
        <w:trPr>
          <w:trHeight w:val="359" w:hRule="atLeast"/>
        </w:trPr>
        <w:tc>
          <w:tcPr>
            <w:tcW w:w="2499" w:type="dxa"/>
            <w:vMerge w:val="continue"/>
            <w:tcBorders>
              <w:left w:val="single" w:color="000000" w:sz="4" w:space="0"/>
              <w:right w:val="single" w:color="auto"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729"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2496"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初等教育</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25.8</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8.2</w:t>
            </w:r>
          </w:p>
        </w:tc>
      </w:tr>
      <w:tr>
        <w:tblPrEx>
          <w:tblLayout w:type="fixed"/>
          <w:tblCellMar>
            <w:top w:w="0" w:type="dxa"/>
            <w:left w:w="0" w:type="dxa"/>
            <w:bottom w:w="0" w:type="dxa"/>
            <w:right w:w="0" w:type="dxa"/>
          </w:tblCellMar>
        </w:tblPrEx>
        <w:trPr>
          <w:trHeight w:val="359" w:hRule="atLeast"/>
        </w:trPr>
        <w:tc>
          <w:tcPr>
            <w:tcW w:w="2499" w:type="dxa"/>
            <w:vMerge w:val="continue"/>
            <w:tcBorders>
              <w:left w:val="single" w:color="000000" w:sz="4" w:space="0"/>
              <w:right w:val="single" w:color="auto"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729"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2496"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学前教育</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24.4</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7.5</w:t>
            </w:r>
          </w:p>
        </w:tc>
      </w:tr>
      <w:tr>
        <w:tblPrEx>
          <w:tblLayout w:type="fixed"/>
          <w:tblCellMar>
            <w:top w:w="0" w:type="dxa"/>
            <w:left w:w="0" w:type="dxa"/>
            <w:bottom w:w="0" w:type="dxa"/>
            <w:right w:w="0" w:type="dxa"/>
          </w:tblCellMar>
        </w:tblPrEx>
        <w:trPr>
          <w:trHeight w:val="377" w:hRule="atLeast"/>
        </w:trPr>
        <w:tc>
          <w:tcPr>
            <w:tcW w:w="2499" w:type="dxa"/>
            <w:vMerge w:val="continue"/>
            <w:tcBorders>
              <w:left w:val="single" w:color="000000" w:sz="4" w:space="0"/>
              <w:bottom w:val="single" w:color="000000" w:sz="4" w:space="0"/>
              <w:right w:val="single" w:color="auto"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729"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pStyle w:val="12"/>
              <w:rPr>
                <w:rFonts w:ascii="Times New Roman" w:hAnsi="Times New Roman"/>
                <w:color w:val="auto"/>
              </w:rPr>
            </w:pPr>
          </w:p>
        </w:tc>
        <w:tc>
          <w:tcPr>
            <w:tcW w:w="2496"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其他教育</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11.2</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2"/>
              <w:rPr>
                <w:rFonts w:ascii="Times New Roman" w:hAnsi="Times New Roman"/>
                <w:color w:val="auto"/>
              </w:rPr>
            </w:pPr>
            <w:r>
              <w:rPr>
                <w:rFonts w:ascii="Times New Roman" w:hAnsi="Times New Roman"/>
                <w:color w:val="auto"/>
              </w:rPr>
              <w:t>6.2</w:t>
            </w:r>
          </w:p>
        </w:tc>
      </w:tr>
    </w:tbl>
    <w:p>
      <w:pPr>
        <w:ind w:firstLine="0" w:firstLineChars="0"/>
        <w:rPr>
          <w:color w:val="auto"/>
        </w:rPr>
      </w:pPr>
      <w:r>
        <w:rPr>
          <w:rFonts w:hint="eastAsia"/>
          <w:color w:val="auto"/>
          <w:sz w:val="21"/>
          <w:szCs w:val="21"/>
        </w:rPr>
        <w:t>说明：1、根据《民用建筑能耗标准》（GBT51161-2016），公共建筑分为A类或B类：可通过开启外窗方式利用自然通风达到室内温度舒适要求，从而减少空调系统运行时间,减少能源消耗的公共建筑应为A类公共建筑；因建筑功能、规模等限制或受建筑物所在周边环境的制约，不能通过开启外窗方式利用自然通风，而需常年依靠机械通风和空调系统维持室内温度舒适要求的公共建筑应为B类公共建筑。2、采用区域供冷技术建筑不在本表要求内。</w:t>
      </w:r>
    </w:p>
    <w:p/>
    <w:sectPr>
      <w:footerReference r:id="rId11"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ˎ̥">
    <w:altName w:val="Times New Roman"/>
    <w:panose1 w:val="00000000000000000000"/>
    <w:charset w:val="00"/>
    <w:family w:val="decorative"/>
    <w:pitch w:val="default"/>
    <w:sig w:usb0="00000000" w:usb1="00000000" w:usb2="00000000" w:usb3="00000000" w:csb0="00040001" w:csb1="00000000"/>
  </w:font>
  <w:font w:name="Tahoma">
    <w:panose1 w:val="020B0604030504040204"/>
    <w:charset w:val="00"/>
    <w:family w:val="auto"/>
    <w:pitch w:val="default"/>
    <w:sig w:usb0="E1002EFF" w:usb1="C000605B" w:usb2="00000029" w:usb3="00000000" w:csb0="200101FF" w:csb1="2028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01952944"/>
    </w:sdtPr>
    <w:sdtContent>
      <w:p>
        <w:pPr>
          <w:pStyle w:val="19"/>
          <w:ind w:firstLine="360"/>
          <w:jc w:val="center"/>
        </w:pPr>
        <w:r>
          <w:fldChar w:fldCharType="begin"/>
        </w:r>
        <w:r>
          <w:instrText xml:space="preserve">PAGE   \* MERGEFORMAT</w:instrText>
        </w:r>
        <w:r>
          <w:fldChar w:fldCharType="separate"/>
        </w:r>
        <w:r>
          <w:rPr>
            <w:lang w:val="zh-CN"/>
          </w:rPr>
          <w:t>2</w:t>
        </w:r>
        <w:r>
          <w:fldChar w:fldCharType="end"/>
        </w:r>
      </w:p>
    </w:sdtContent>
  </w:sdt>
  <w:p>
    <w:pPr>
      <w:pStyle w:val="1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23"/>
        <w:ind w:firstLine="360"/>
        <w:rPr>
          <w:color w:val="auto"/>
        </w:rPr>
      </w:pPr>
      <w:r>
        <w:footnoteRef/>
      </w:r>
      <w:r>
        <w:rPr>
          <w:rFonts w:hint="eastAsia"/>
        </w:rPr>
        <w:t xml:space="preserve"> 数据来源： </w:t>
      </w:r>
      <w:r>
        <w:rPr>
          <w:rFonts w:hint="eastAsia"/>
          <w:color w:val="auto"/>
        </w:rPr>
        <w:t>《三亚市建筑节能与绿色建筑“十三五”专项规划》</w:t>
      </w:r>
    </w:p>
  </w:footnote>
  <w:footnote w:id="1">
    <w:p>
      <w:pPr>
        <w:pStyle w:val="23"/>
        <w:ind w:firstLine="360"/>
      </w:pPr>
      <w:r>
        <w:rPr>
          <w:rStyle w:val="38"/>
          <w:vertAlign w:val="baseline"/>
        </w:rPr>
        <w:footnoteRef/>
      </w:r>
      <w:r>
        <w:rPr>
          <w:rFonts w:hint="eastAsia"/>
        </w:rPr>
        <w:t xml:space="preserve"> 《三亚市建筑节能与绿色建筑“十三五”专项规划》</w:t>
      </w:r>
    </w:p>
  </w:footnote>
  <w:footnote w:id="2">
    <w:p>
      <w:pPr>
        <w:pStyle w:val="23"/>
        <w:ind w:firstLine="420"/>
      </w:pPr>
      <w:r>
        <w:rPr>
          <w:rStyle w:val="38"/>
          <w:sz w:val="21"/>
          <w:szCs w:val="22"/>
          <w:vertAlign w:val="baseline"/>
        </w:rPr>
        <w:footnoteRef/>
      </w:r>
      <w:r>
        <w:rPr>
          <w:rStyle w:val="38"/>
          <w:sz w:val="21"/>
          <w:szCs w:val="22"/>
          <w:vertAlign w:val="baseline"/>
        </w:rPr>
        <w:t xml:space="preserve"> </w:t>
      </w:r>
      <w:r>
        <w:rPr>
          <w:rFonts w:hint="eastAsia"/>
        </w:rPr>
        <w:t>《民用建筑能耗标准》（GBT51161-2016）</w:t>
      </w:r>
    </w:p>
  </w:footnote>
  <w:footnote w:id="3">
    <w:p>
      <w:pPr>
        <w:pStyle w:val="23"/>
        <w:ind w:firstLine="360"/>
      </w:pPr>
      <w:r>
        <w:rPr>
          <w:rStyle w:val="38"/>
          <w:vertAlign w:val="baseline"/>
        </w:rPr>
        <w:footnoteRef/>
      </w:r>
      <w:r>
        <w:t xml:space="preserve"> </w:t>
      </w:r>
      <w:r>
        <w:rPr>
          <w:rFonts w:hint="eastAsia"/>
        </w:rPr>
        <w:t>《三亚市建筑节能与绿色建筑“十三五”专项规划》</w:t>
      </w:r>
    </w:p>
  </w:footnote>
  <w:footnote w:id="4">
    <w:p>
      <w:pPr>
        <w:pStyle w:val="23"/>
        <w:ind w:firstLine="360"/>
      </w:pPr>
      <w:r>
        <w:rPr>
          <w:rStyle w:val="38"/>
        </w:rPr>
        <w:footnoteRef/>
      </w:r>
      <w:r>
        <w:t xml:space="preserve"> </w:t>
      </w:r>
      <w:r>
        <w:rPr>
          <w:rFonts w:hint="eastAsia"/>
        </w:rPr>
        <w:t>维护结构热工性能不能满足规范规定时，必须按照规定的方法进行权衡判断。</w:t>
      </w:r>
    </w:p>
  </w:footnote>
  <w:footnote w:id="5">
    <w:p>
      <w:pPr>
        <w:pStyle w:val="23"/>
        <w:ind w:firstLine="360"/>
      </w:pPr>
      <w:r>
        <w:rPr>
          <w:rStyle w:val="38"/>
          <w:vertAlign w:val="baseline"/>
        </w:rPr>
        <w:footnoteRef/>
      </w:r>
      <w:r>
        <w:t xml:space="preserve"> </w:t>
      </w:r>
      <w:r>
        <w:rPr>
          <w:rFonts w:hint="eastAsia"/>
        </w:rPr>
        <w:t>《三亚市建筑节能与绿色建筑“十三五”专项规划》</w:t>
      </w:r>
    </w:p>
  </w:footnote>
  <w:footnote w:id="6">
    <w:p>
      <w:pPr>
        <w:pStyle w:val="23"/>
        <w:ind w:firstLine="360"/>
      </w:pPr>
      <w:r>
        <w:footnoteRef/>
      </w:r>
      <w:r>
        <w:t xml:space="preserve"> </w:t>
      </w:r>
      <w:r>
        <w:rPr>
          <w:rFonts w:hint="eastAsia"/>
        </w:rPr>
        <w:t>参照《海南省绿色建筑设计说明专篇（2019版）》</w:t>
      </w:r>
    </w:p>
  </w:footnote>
  <w:footnote w:id="7">
    <w:p>
      <w:pPr>
        <w:pStyle w:val="23"/>
        <w:ind w:firstLine="360"/>
      </w:pPr>
      <w:r>
        <w:footnoteRef/>
      </w:r>
      <w:r>
        <w:t xml:space="preserve"> </w:t>
      </w:r>
      <w:r>
        <w:rPr>
          <w:rFonts w:hint="eastAsia"/>
        </w:rPr>
        <w:t>参照</w:t>
      </w:r>
      <w:r>
        <w:rPr>
          <w:rFonts w:hint="eastAsia"/>
          <w:color w:val="auto"/>
        </w:rPr>
        <w:t>《三亚市建筑节能与绿色建筑“十三五”专项规划》</w:t>
      </w:r>
    </w:p>
  </w:footnote>
  <w:footnote w:id="8">
    <w:p>
      <w:pPr>
        <w:pStyle w:val="23"/>
        <w:ind w:firstLine="360"/>
      </w:pPr>
      <w:r>
        <w:footnoteRef/>
      </w:r>
      <w:r>
        <w:t xml:space="preserve"> </w:t>
      </w:r>
      <w:r>
        <w:rPr>
          <w:rFonts w:hint="eastAsia"/>
        </w:rPr>
        <w:t>参照《海南省绿色生态小区技术标准》</w:t>
      </w:r>
    </w:p>
  </w:footnote>
  <w:footnote w:id="9">
    <w:p>
      <w:pPr>
        <w:pStyle w:val="23"/>
        <w:ind w:firstLine="360"/>
      </w:pPr>
      <w:r>
        <w:footnoteRef/>
      </w:r>
      <w:r>
        <w:rPr>
          <w:rFonts w:hint="eastAsia"/>
        </w:rPr>
        <w:t xml:space="preserve"> 参照</w:t>
      </w:r>
      <w:r>
        <w:rPr>
          <w:rFonts w:hint="eastAsia"/>
          <w:color w:val="auto"/>
        </w:rPr>
        <w:t>《三亚市建筑节能与绿色建筑“十三五”专项规划》</w:t>
      </w:r>
    </w:p>
  </w:footnote>
  <w:footnote w:id="10">
    <w:p>
      <w:pPr>
        <w:pStyle w:val="23"/>
        <w:ind w:firstLine="360"/>
      </w:pPr>
      <w:r>
        <w:footnoteRef/>
      </w:r>
      <w:r>
        <w:t xml:space="preserve"> </w:t>
      </w:r>
      <w:r>
        <w:rPr>
          <w:rFonts w:hint="eastAsia"/>
        </w:rPr>
        <w:t>《绿色建筑评价标准》（GB/T 50378-2019）第6.2.6条</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094335"/>
    <w:multiLevelType w:val="singleLevel"/>
    <w:tmpl w:val="81094335"/>
    <w:lvl w:ilvl="0" w:tentative="0">
      <w:start w:val="1"/>
      <w:numFmt w:val="decimal"/>
      <w:suff w:val="nothing"/>
      <w:lvlText w:val="（%1）"/>
      <w:lvlJc w:val="left"/>
    </w:lvl>
  </w:abstractNum>
  <w:abstractNum w:abstractNumId="1">
    <w:nsid w:val="839C5EE5"/>
    <w:multiLevelType w:val="singleLevel"/>
    <w:tmpl w:val="839C5EE5"/>
    <w:lvl w:ilvl="0" w:tentative="0">
      <w:start w:val="1"/>
      <w:numFmt w:val="decimal"/>
      <w:suff w:val="nothing"/>
      <w:lvlText w:val="（%1）"/>
      <w:lvlJc w:val="left"/>
    </w:lvl>
  </w:abstractNum>
  <w:abstractNum w:abstractNumId="2">
    <w:nsid w:val="A4FF75D7"/>
    <w:multiLevelType w:val="singleLevel"/>
    <w:tmpl w:val="A4FF75D7"/>
    <w:lvl w:ilvl="0" w:tentative="0">
      <w:start w:val="1"/>
      <w:numFmt w:val="decimal"/>
      <w:suff w:val="nothing"/>
      <w:lvlText w:val="（%1）"/>
      <w:lvlJc w:val="left"/>
    </w:lvl>
  </w:abstractNum>
  <w:abstractNum w:abstractNumId="3">
    <w:nsid w:val="AD03A042"/>
    <w:multiLevelType w:val="singleLevel"/>
    <w:tmpl w:val="AD03A042"/>
    <w:lvl w:ilvl="0" w:tentative="0">
      <w:start w:val="3"/>
      <w:numFmt w:val="chineseCounting"/>
      <w:suff w:val="space"/>
      <w:lvlText w:val="第%1章"/>
      <w:lvlJc w:val="left"/>
      <w:rPr>
        <w:rFonts w:hint="eastAsia"/>
      </w:rPr>
    </w:lvl>
  </w:abstractNum>
  <w:abstractNum w:abstractNumId="4">
    <w:nsid w:val="B9CC7346"/>
    <w:multiLevelType w:val="singleLevel"/>
    <w:tmpl w:val="B9CC7346"/>
    <w:lvl w:ilvl="0" w:tentative="0">
      <w:start w:val="1"/>
      <w:numFmt w:val="decimal"/>
      <w:suff w:val="nothing"/>
      <w:lvlText w:val="%1、"/>
      <w:lvlJc w:val="left"/>
    </w:lvl>
  </w:abstractNum>
  <w:abstractNum w:abstractNumId="5">
    <w:nsid w:val="C1D2775E"/>
    <w:multiLevelType w:val="singleLevel"/>
    <w:tmpl w:val="C1D2775E"/>
    <w:lvl w:ilvl="0" w:tentative="0">
      <w:start w:val="1"/>
      <w:numFmt w:val="decimal"/>
      <w:suff w:val="nothing"/>
      <w:lvlText w:val="（%1）"/>
      <w:lvlJc w:val="left"/>
    </w:lvl>
  </w:abstractNum>
  <w:abstractNum w:abstractNumId="6">
    <w:nsid w:val="E6AB121C"/>
    <w:multiLevelType w:val="singleLevel"/>
    <w:tmpl w:val="E6AB121C"/>
    <w:lvl w:ilvl="0" w:tentative="0">
      <w:start w:val="1"/>
      <w:numFmt w:val="decimal"/>
      <w:suff w:val="nothing"/>
      <w:lvlText w:val="%1、"/>
      <w:lvlJc w:val="left"/>
    </w:lvl>
  </w:abstractNum>
  <w:abstractNum w:abstractNumId="7">
    <w:nsid w:val="00F914FC"/>
    <w:multiLevelType w:val="singleLevel"/>
    <w:tmpl w:val="00F914FC"/>
    <w:lvl w:ilvl="0" w:tentative="0">
      <w:start w:val="1"/>
      <w:numFmt w:val="decimal"/>
      <w:suff w:val="nothing"/>
      <w:lvlText w:val="%1、"/>
      <w:lvlJc w:val="left"/>
    </w:lvl>
  </w:abstractNum>
  <w:abstractNum w:abstractNumId="8">
    <w:nsid w:val="02F1B46C"/>
    <w:multiLevelType w:val="singleLevel"/>
    <w:tmpl w:val="02F1B46C"/>
    <w:lvl w:ilvl="0" w:tentative="0">
      <w:start w:val="1"/>
      <w:numFmt w:val="decimal"/>
      <w:suff w:val="nothing"/>
      <w:lvlText w:val="（%1）"/>
      <w:lvlJc w:val="left"/>
    </w:lvl>
  </w:abstractNum>
  <w:abstractNum w:abstractNumId="9">
    <w:nsid w:val="0A79FE7C"/>
    <w:multiLevelType w:val="singleLevel"/>
    <w:tmpl w:val="0A79FE7C"/>
    <w:lvl w:ilvl="0" w:tentative="0">
      <w:start w:val="1"/>
      <w:numFmt w:val="chineseCounting"/>
      <w:suff w:val="nothing"/>
      <w:lvlText w:val="（%1）"/>
      <w:lvlJc w:val="left"/>
      <w:rPr>
        <w:rFonts w:hint="eastAsia"/>
      </w:rPr>
    </w:lvl>
  </w:abstractNum>
  <w:abstractNum w:abstractNumId="10">
    <w:nsid w:val="4D770432"/>
    <w:multiLevelType w:val="multilevel"/>
    <w:tmpl w:val="4D770432"/>
    <w:lvl w:ilvl="0" w:tentative="0">
      <w:start w:val="1"/>
      <w:numFmt w:val="japaneseCounting"/>
      <w:lvlText w:val="第%1章"/>
      <w:lvlJc w:val="left"/>
      <w:pPr>
        <w:ind w:left="1760" w:hanging="112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1">
    <w:nsid w:val="58EDA93D"/>
    <w:multiLevelType w:val="singleLevel"/>
    <w:tmpl w:val="58EDA93D"/>
    <w:lvl w:ilvl="0" w:tentative="0">
      <w:start w:val="1"/>
      <w:numFmt w:val="decimal"/>
      <w:suff w:val="nothing"/>
      <w:lvlText w:val="（%1）"/>
      <w:lvlJc w:val="left"/>
    </w:lvl>
  </w:abstractNum>
  <w:abstractNum w:abstractNumId="12">
    <w:nsid w:val="59CCC463"/>
    <w:multiLevelType w:val="singleLevel"/>
    <w:tmpl w:val="59CCC463"/>
    <w:lvl w:ilvl="0" w:tentative="0">
      <w:start w:val="1"/>
      <w:numFmt w:val="decimal"/>
      <w:suff w:val="nothing"/>
      <w:lvlText w:val="（%1）"/>
      <w:lvlJc w:val="left"/>
    </w:lvl>
  </w:abstractNum>
  <w:num w:numId="1">
    <w:abstractNumId w:val="10"/>
  </w:num>
  <w:num w:numId="2">
    <w:abstractNumId w:val="4"/>
  </w:num>
  <w:num w:numId="3">
    <w:abstractNumId w:val="7"/>
  </w:num>
  <w:num w:numId="4">
    <w:abstractNumId w:val="9"/>
  </w:num>
  <w:num w:numId="5">
    <w:abstractNumId w:val="6"/>
  </w:num>
  <w:num w:numId="6">
    <w:abstractNumId w:val="3"/>
  </w:num>
  <w:num w:numId="7">
    <w:abstractNumId w:val="11"/>
  </w:num>
  <w:num w:numId="8">
    <w:abstractNumId w:val="8"/>
  </w:num>
  <w:num w:numId="9">
    <w:abstractNumId w:val="5"/>
  </w:num>
  <w:num w:numId="10">
    <w:abstractNumId w:val="1"/>
  </w:num>
  <w:num w:numId="11">
    <w:abstractNumId w:val="12"/>
  </w:num>
  <w:num w:numId="12">
    <w:abstractNumId w:val="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4C77"/>
    <w:rsid w:val="000057B5"/>
    <w:rsid w:val="00007914"/>
    <w:rsid w:val="000116A6"/>
    <w:rsid w:val="000303C2"/>
    <w:rsid w:val="00046E44"/>
    <w:rsid w:val="00055F7B"/>
    <w:rsid w:val="00071C34"/>
    <w:rsid w:val="00075578"/>
    <w:rsid w:val="000809EA"/>
    <w:rsid w:val="000836A4"/>
    <w:rsid w:val="00083BF5"/>
    <w:rsid w:val="00084DB7"/>
    <w:rsid w:val="000A0C24"/>
    <w:rsid w:val="000B04AC"/>
    <w:rsid w:val="000C5748"/>
    <w:rsid w:val="000C62C9"/>
    <w:rsid w:val="000D4CB7"/>
    <w:rsid w:val="000D6C97"/>
    <w:rsid w:val="000E113E"/>
    <w:rsid w:val="000E2EAF"/>
    <w:rsid w:val="000E303B"/>
    <w:rsid w:val="000E78CB"/>
    <w:rsid w:val="000F5FA0"/>
    <w:rsid w:val="00103A0F"/>
    <w:rsid w:val="001126B4"/>
    <w:rsid w:val="00115D52"/>
    <w:rsid w:val="001317AE"/>
    <w:rsid w:val="00133CDF"/>
    <w:rsid w:val="00142659"/>
    <w:rsid w:val="00142E33"/>
    <w:rsid w:val="00150A76"/>
    <w:rsid w:val="00154C7B"/>
    <w:rsid w:val="00172A27"/>
    <w:rsid w:val="00177CEE"/>
    <w:rsid w:val="00185987"/>
    <w:rsid w:val="00196946"/>
    <w:rsid w:val="001A14AC"/>
    <w:rsid w:val="001A54CF"/>
    <w:rsid w:val="001B08FC"/>
    <w:rsid w:val="001B7FC2"/>
    <w:rsid w:val="001C373B"/>
    <w:rsid w:val="001C465D"/>
    <w:rsid w:val="001C5852"/>
    <w:rsid w:val="001D2A3E"/>
    <w:rsid w:val="001D7719"/>
    <w:rsid w:val="00201B73"/>
    <w:rsid w:val="0021301C"/>
    <w:rsid w:val="0021320E"/>
    <w:rsid w:val="002167A4"/>
    <w:rsid w:val="00220795"/>
    <w:rsid w:val="00221CF6"/>
    <w:rsid w:val="002331CB"/>
    <w:rsid w:val="00240CD2"/>
    <w:rsid w:val="00241206"/>
    <w:rsid w:val="00252C1E"/>
    <w:rsid w:val="002600CD"/>
    <w:rsid w:val="002614BA"/>
    <w:rsid w:val="002909A6"/>
    <w:rsid w:val="00291C75"/>
    <w:rsid w:val="00297476"/>
    <w:rsid w:val="002B004C"/>
    <w:rsid w:val="002B2890"/>
    <w:rsid w:val="002C3138"/>
    <w:rsid w:val="002D6BFF"/>
    <w:rsid w:val="002E02A1"/>
    <w:rsid w:val="002E24CE"/>
    <w:rsid w:val="002E3562"/>
    <w:rsid w:val="002F3550"/>
    <w:rsid w:val="002F35EA"/>
    <w:rsid w:val="003073AF"/>
    <w:rsid w:val="003135AA"/>
    <w:rsid w:val="003217C1"/>
    <w:rsid w:val="00322E25"/>
    <w:rsid w:val="00322F2A"/>
    <w:rsid w:val="00323C22"/>
    <w:rsid w:val="003244E7"/>
    <w:rsid w:val="00325BFF"/>
    <w:rsid w:val="003305AF"/>
    <w:rsid w:val="0035694F"/>
    <w:rsid w:val="00363D5E"/>
    <w:rsid w:val="00365644"/>
    <w:rsid w:val="00366615"/>
    <w:rsid w:val="00373434"/>
    <w:rsid w:val="00376AA0"/>
    <w:rsid w:val="0039247B"/>
    <w:rsid w:val="003932B8"/>
    <w:rsid w:val="00397071"/>
    <w:rsid w:val="003A28AF"/>
    <w:rsid w:val="003A2C10"/>
    <w:rsid w:val="003B6436"/>
    <w:rsid w:val="003C028A"/>
    <w:rsid w:val="003C2EDC"/>
    <w:rsid w:val="003D2F1D"/>
    <w:rsid w:val="003E41F3"/>
    <w:rsid w:val="003F33A4"/>
    <w:rsid w:val="003F582C"/>
    <w:rsid w:val="003F704F"/>
    <w:rsid w:val="00401695"/>
    <w:rsid w:val="00402031"/>
    <w:rsid w:val="00402A7E"/>
    <w:rsid w:val="004040AA"/>
    <w:rsid w:val="00405ED8"/>
    <w:rsid w:val="00412728"/>
    <w:rsid w:val="00412E67"/>
    <w:rsid w:val="00424224"/>
    <w:rsid w:val="0042497D"/>
    <w:rsid w:val="004436E7"/>
    <w:rsid w:val="00452B20"/>
    <w:rsid w:val="00453170"/>
    <w:rsid w:val="0045642D"/>
    <w:rsid w:val="00457C8F"/>
    <w:rsid w:val="0046623F"/>
    <w:rsid w:val="00483528"/>
    <w:rsid w:val="004934EC"/>
    <w:rsid w:val="00494D71"/>
    <w:rsid w:val="004A6FBD"/>
    <w:rsid w:val="004C04D1"/>
    <w:rsid w:val="004C5C97"/>
    <w:rsid w:val="004D3CB7"/>
    <w:rsid w:val="004D4060"/>
    <w:rsid w:val="004E08FC"/>
    <w:rsid w:val="004E358F"/>
    <w:rsid w:val="004F3226"/>
    <w:rsid w:val="00505FB5"/>
    <w:rsid w:val="005148DA"/>
    <w:rsid w:val="005272B8"/>
    <w:rsid w:val="005273F5"/>
    <w:rsid w:val="0055306A"/>
    <w:rsid w:val="00563333"/>
    <w:rsid w:val="005671BA"/>
    <w:rsid w:val="00577066"/>
    <w:rsid w:val="00581D43"/>
    <w:rsid w:val="00582E3F"/>
    <w:rsid w:val="005A24D2"/>
    <w:rsid w:val="005A7A09"/>
    <w:rsid w:val="005B4BC6"/>
    <w:rsid w:val="005D099A"/>
    <w:rsid w:val="005D1773"/>
    <w:rsid w:val="005E06F6"/>
    <w:rsid w:val="005E2E0B"/>
    <w:rsid w:val="00613D46"/>
    <w:rsid w:val="00616897"/>
    <w:rsid w:val="00622175"/>
    <w:rsid w:val="006266D3"/>
    <w:rsid w:val="0063548E"/>
    <w:rsid w:val="006409D6"/>
    <w:rsid w:val="00643300"/>
    <w:rsid w:val="00646C38"/>
    <w:rsid w:val="0065077A"/>
    <w:rsid w:val="00675433"/>
    <w:rsid w:val="00681DFD"/>
    <w:rsid w:val="00682D74"/>
    <w:rsid w:val="006902E6"/>
    <w:rsid w:val="0069319B"/>
    <w:rsid w:val="00694812"/>
    <w:rsid w:val="006A1228"/>
    <w:rsid w:val="006A5673"/>
    <w:rsid w:val="006B2105"/>
    <w:rsid w:val="006B5106"/>
    <w:rsid w:val="006C0B70"/>
    <w:rsid w:val="006C586B"/>
    <w:rsid w:val="006D2279"/>
    <w:rsid w:val="006D60CD"/>
    <w:rsid w:val="006E2C90"/>
    <w:rsid w:val="006E4945"/>
    <w:rsid w:val="006F3CF1"/>
    <w:rsid w:val="006F44D4"/>
    <w:rsid w:val="006F4CA8"/>
    <w:rsid w:val="006F58AA"/>
    <w:rsid w:val="00700AA9"/>
    <w:rsid w:val="0070508C"/>
    <w:rsid w:val="007065AD"/>
    <w:rsid w:val="00713518"/>
    <w:rsid w:val="007164FF"/>
    <w:rsid w:val="00722885"/>
    <w:rsid w:val="00725DE1"/>
    <w:rsid w:val="007265A4"/>
    <w:rsid w:val="007479E5"/>
    <w:rsid w:val="00753168"/>
    <w:rsid w:val="00753446"/>
    <w:rsid w:val="00756DB4"/>
    <w:rsid w:val="00757CC4"/>
    <w:rsid w:val="007726B2"/>
    <w:rsid w:val="00773DFD"/>
    <w:rsid w:val="00795DC8"/>
    <w:rsid w:val="007A45C1"/>
    <w:rsid w:val="007B4A3F"/>
    <w:rsid w:val="007B7BF0"/>
    <w:rsid w:val="007C1D3C"/>
    <w:rsid w:val="007C5A2A"/>
    <w:rsid w:val="007D7567"/>
    <w:rsid w:val="007E3665"/>
    <w:rsid w:val="007E4D73"/>
    <w:rsid w:val="007E718E"/>
    <w:rsid w:val="007F33DB"/>
    <w:rsid w:val="00801F66"/>
    <w:rsid w:val="00802590"/>
    <w:rsid w:val="00803EB9"/>
    <w:rsid w:val="00812B0A"/>
    <w:rsid w:val="00820F31"/>
    <w:rsid w:val="0082384E"/>
    <w:rsid w:val="00823FBE"/>
    <w:rsid w:val="0082584D"/>
    <w:rsid w:val="00826958"/>
    <w:rsid w:val="00835006"/>
    <w:rsid w:val="00835400"/>
    <w:rsid w:val="00836828"/>
    <w:rsid w:val="008449CC"/>
    <w:rsid w:val="00845252"/>
    <w:rsid w:val="0085441B"/>
    <w:rsid w:val="00856F18"/>
    <w:rsid w:val="00871A65"/>
    <w:rsid w:val="00890942"/>
    <w:rsid w:val="00896257"/>
    <w:rsid w:val="008A1EF1"/>
    <w:rsid w:val="008A3B57"/>
    <w:rsid w:val="008A4BAF"/>
    <w:rsid w:val="008D4A31"/>
    <w:rsid w:val="008E2C9D"/>
    <w:rsid w:val="008F04F1"/>
    <w:rsid w:val="009147BC"/>
    <w:rsid w:val="00923446"/>
    <w:rsid w:val="009305BE"/>
    <w:rsid w:val="00945069"/>
    <w:rsid w:val="009473BF"/>
    <w:rsid w:val="00954472"/>
    <w:rsid w:val="00961100"/>
    <w:rsid w:val="0097354C"/>
    <w:rsid w:val="00985610"/>
    <w:rsid w:val="0099527D"/>
    <w:rsid w:val="009B1880"/>
    <w:rsid w:val="009B26BA"/>
    <w:rsid w:val="009C1796"/>
    <w:rsid w:val="009C6CCD"/>
    <w:rsid w:val="009C7EA6"/>
    <w:rsid w:val="009E3E49"/>
    <w:rsid w:val="009E7687"/>
    <w:rsid w:val="009F1955"/>
    <w:rsid w:val="009F4782"/>
    <w:rsid w:val="00A1082F"/>
    <w:rsid w:val="00A11985"/>
    <w:rsid w:val="00A21181"/>
    <w:rsid w:val="00A2498A"/>
    <w:rsid w:val="00A26232"/>
    <w:rsid w:val="00A40290"/>
    <w:rsid w:val="00A406EF"/>
    <w:rsid w:val="00A42027"/>
    <w:rsid w:val="00A44EF7"/>
    <w:rsid w:val="00A51206"/>
    <w:rsid w:val="00A52D1C"/>
    <w:rsid w:val="00A555A2"/>
    <w:rsid w:val="00A57EB0"/>
    <w:rsid w:val="00A60AF2"/>
    <w:rsid w:val="00A7178C"/>
    <w:rsid w:val="00A96699"/>
    <w:rsid w:val="00AA0A5D"/>
    <w:rsid w:val="00AA2CE6"/>
    <w:rsid w:val="00AA5339"/>
    <w:rsid w:val="00AA64A7"/>
    <w:rsid w:val="00AB4C1A"/>
    <w:rsid w:val="00AB7362"/>
    <w:rsid w:val="00AB7B1E"/>
    <w:rsid w:val="00AC018E"/>
    <w:rsid w:val="00AC045C"/>
    <w:rsid w:val="00AD1285"/>
    <w:rsid w:val="00AE09C4"/>
    <w:rsid w:val="00AE3BBA"/>
    <w:rsid w:val="00AF2E83"/>
    <w:rsid w:val="00AF36E9"/>
    <w:rsid w:val="00AF4291"/>
    <w:rsid w:val="00B124CE"/>
    <w:rsid w:val="00B1253C"/>
    <w:rsid w:val="00B21B27"/>
    <w:rsid w:val="00B22149"/>
    <w:rsid w:val="00B22F2A"/>
    <w:rsid w:val="00B2506E"/>
    <w:rsid w:val="00B37775"/>
    <w:rsid w:val="00B422FB"/>
    <w:rsid w:val="00B44E0D"/>
    <w:rsid w:val="00B44E16"/>
    <w:rsid w:val="00B54B85"/>
    <w:rsid w:val="00B61895"/>
    <w:rsid w:val="00B66180"/>
    <w:rsid w:val="00B66B4A"/>
    <w:rsid w:val="00B80909"/>
    <w:rsid w:val="00B9345E"/>
    <w:rsid w:val="00B9531B"/>
    <w:rsid w:val="00BA106E"/>
    <w:rsid w:val="00BB0031"/>
    <w:rsid w:val="00BB1316"/>
    <w:rsid w:val="00BB42BE"/>
    <w:rsid w:val="00BC1BC0"/>
    <w:rsid w:val="00BC33E1"/>
    <w:rsid w:val="00BC6F47"/>
    <w:rsid w:val="00BE551E"/>
    <w:rsid w:val="00BF0EA0"/>
    <w:rsid w:val="00BF4194"/>
    <w:rsid w:val="00BF464E"/>
    <w:rsid w:val="00BF57DD"/>
    <w:rsid w:val="00BF7198"/>
    <w:rsid w:val="00C03242"/>
    <w:rsid w:val="00C0467B"/>
    <w:rsid w:val="00C06716"/>
    <w:rsid w:val="00C14F77"/>
    <w:rsid w:val="00C172A1"/>
    <w:rsid w:val="00C23671"/>
    <w:rsid w:val="00C27E5E"/>
    <w:rsid w:val="00C36EA2"/>
    <w:rsid w:val="00C4460C"/>
    <w:rsid w:val="00C4669D"/>
    <w:rsid w:val="00C55EFF"/>
    <w:rsid w:val="00C64BB8"/>
    <w:rsid w:val="00C83F19"/>
    <w:rsid w:val="00C94658"/>
    <w:rsid w:val="00C95F30"/>
    <w:rsid w:val="00CA0189"/>
    <w:rsid w:val="00CA7D7F"/>
    <w:rsid w:val="00CB2BB5"/>
    <w:rsid w:val="00CE334A"/>
    <w:rsid w:val="00CF40AA"/>
    <w:rsid w:val="00D019F1"/>
    <w:rsid w:val="00D06146"/>
    <w:rsid w:val="00D06621"/>
    <w:rsid w:val="00D11F4D"/>
    <w:rsid w:val="00D175D4"/>
    <w:rsid w:val="00D30A51"/>
    <w:rsid w:val="00D354BD"/>
    <w:rsid w:val="00D40DD4"/>
    <w:rsid w:val="00D43B25"/>
    <w:rsid w:val="00D46126"/>
    <w:rsid w:val="00D623CC"/>
    <w:rsid w:val="00D63A2F"/>
    <w:rsid w:val="00D80563"/>
    <w:rsid w:val="00D8180C"/>
    <w:rsid w:val="00D90CDA"/>
    <w:rsid w:val="00DA60FA"/>
    <w:rsid w:val="00DA6E41"/>
    <w:rsid w:val="00DB42A3"/>
    <w:rsid w:val="00DD0D41"/>
    <w:rsid w:val="00DD6222"/>
    <w:rsid w:val="00DE492F"/>
    <w:rsid w:val="00DE5E1B"/>
    <w:rsid w:val="00DE6676"/>
    <w:rsid w:val="00DF06A4"/>
    <w:rsid w:val="00DF4070"/>
    <w:rsid w:val="00E04846"/>
    <w:rsid w:val="00E07E36"/>
    <w:rsid w:val="00E26162"/>
    <w:rsid w:val="00E37106"/>
    <w:rsid w:val="00E43E20"/>
    <w:rsid w:val="00E61F79"/>
    <w:rsid w:val="00E6514F"/>
    <w:rsid w:val="00E65294"/>
    <w:rsid w:val="00E65F4F"/>
    <w:rsid w:val="00E75017"/>
    <w:rsid w:val="00E75279"/>
    <w:rsid w:val="00E847B9"/>
    <w:rsid w:val="00E97798"/>
    <w:rsid w:val="00EA01F3"/>
    <w:rsid w:val="00EB193E"/>
    <w:rsid w:val="00EB4D46"/>
    <w:rsid w:val="00EC7ED6"/>
    <w:rsid w:val="00ED0456"/>
    <w:rsid w:val="00ED65B6"/>
    <w:rsid w:val="00EF0434"/>
    <w:rsid w:val="00EF24FC"/>
    <w:rsid w:val="00F000E0"/>
    <w:rsid w:val="00F03753"/>
    <w:rsid w:val="00F16F3B"/>
    <w:rsid w:val="00F27113"/>
    <w:rsid w:val="00F3660F"/>
    <w:rsid w:val="00F41303"/>
    <w:rsid w:val="00F70D5D"/>
    <w:rsid w:val="00F75DD4"/>
    <w:rsid w:val="00F94608"/>
    <w:rsid w:val="00FA05D0"/>
    <w:rsid w:val="00FA6484"/>
    <w:rsid w:val="00FB09A7"/>
    <w:rsid w:val="00FB449B"/>
    <w:rsid w:val="00FC1787"/>
    <w:rsid w:val="00FC4405"/>
    <w:rsid w:val="00FC7162"/>
    <w:rsid w:val="00FD04F5"/>
    <w:rsid w:val="00FD4BA6"/>
    <w:rsid w:val="00FD5BE0"/>
    <w:rsid w:val="00FF02FD"/>
    <w:rsid w:val="00FF13D2"/>
    <w:rsid w:val="018F4F5C"/>
    <w:rsid w:val="01924A07"/>
    <w:rsid w:val="01AD0CC4"/>
    <w:rsid w:val="023D1055"/>
    <w:rsid w:val="02555D63"/>
    <w:rsid w:val="025D6772"/>
    <w:rsid w:val="02F577A7"/>
    <w:rsid w:val="031E5DBC"/>
    <w:rsid w:val="03654705"/>
    <w:rsid w:val="037F0E50"/>
    <w:rsid w:val="03A63682"/>
    <w:rsid w:val="03B85CB4"/>
    <w:rsid w:val="03CD4C7B"/>
    <w:rsid w:val="041D3850"/>
    <w:rsid w:val="042B03B4"/>
    <w:rsid w:val="044B3DE8"/>
    <w:rsid w:val="04677D3A"/>
    <w:rsid w:val="047347B6"/>
    <w:rsid w:val="047A7FCD"/>
    <w:rsid w:val="0489625B"/>
    <w:rsid w:val="048B1834"/>
    <w:rsid w:val="04DE5CE4"/>
    <w:rsid w:val="04FF5A89"/>
    <w:rsid w:val="051914F4"/>
    <w:rsid w:val="05821634"/>
    <w:rsid w:val="0598268C"/>
    <w:rsid w:val="0616424D"/>
    <w:rsid w:val="063714FA"/>
    <w:rsid w:val="063E0C1A"/>
    <w:rsid w:val="064629F7"/>
    <w:rsid w:val="065C4F3F"/>
    <w:rsid w:val="066066E6"/>
    <w:rsid w:val="06E5608F"/>
    <w:rsid w:val="072D6B05"/>
    <w:rsid w:val="07F617D4"/>
    <w:rsid w:val="081243DB"/>
    <w:rsid w:val="08A53D53"/>
    <w:rsid w:val="09062BC4"/>
    <w:rsid w:val="09431833"/>
    <w:rsid w:val="09854142"/>
    <w:rsid w:val="098625A5"/>
    <w:rsid w:val="0A0D62E0"/>
    <w:rsid w:val="0A1F3F80"/>
    <w:rsid w:val="0A3A10E4"/>
    <w:rsid w:val="0AC4611C"/>
    <w:rsid w:val="0AC6340A"/>
    <w:rsid w:val="0B1947C5"/>
    <w:rsid w:val="0B3D7C99"/>
    <w:rsid w:val="0B8D2F2F"/>
    <w:rsid w:val="0BB60B01"/>
    <w:rsid w:val="0BBE4C71"/>
    <w:rsid w:val="0C233496"/>
    <w:rsid w:val="0C8B40AB"/>
    <w:rsid w:val="0CA529D4"/>
    <w:rsid w:val="0D002A55"/>
    <w:rsid w:val="0D1218C9"/>
    <w:rsid w:val="0D3F6419"/>
    <w:rsid w:val="0D8F4C88"/>
    <w:rsid w:val="0DD1050F"/>
    <w:rsid w:val="0DFF1AE7"/>
    <w:rsid w:val="0E036C3F"/>
    <w:rsid w:val="0E0A6289"/>
    <w:rsid w:val="0E141151"/>
    <w:rsid w:val="0E1F6FE7"/>
    <w:rsid w:val="0E4F49EA"/>
    <w:rsid w:val="0E886797"/>
    <w:rsid w:val="0EAD285F"/>
    <w:rsid w:val="0EF54A05"/>
    <w:rsid w:val="0F0070CA"/>
    <w:rsid w:val="0F16325A"/>
    <w:rsid w:val="0F3A100B"/>
    <w:rsid w:val="0F55058C"/>
    <w:rsid w:val="0F5F18F0"/>
    <w:rsid w:val="0F8C3982"/>
    <w:rsid w:val="0FD57584"/>
    <w:rsid w:val="101E31CD"/>
    <w:rsid w:val="10321FD8"/>
    <w:rsid w:val="10FB2EB9"/>
    <w:rsid w:val="11784C8F"/>
    <w:rsid w:val="119C050E"/>
    <w:rsid w:val="11A3079B"/>
    <w:rsid w:val="11F71E65"/>
    <w:rsid w:val="12266972"/>
    <w:rsid w:val="122F2B20"/>
    <w:rsid w:val="123349C9"/>
    <w:rsid w:val="127127A4"/>
    <w:rsid w:val="12AF581E"/>
    <w:rsid w:val="12C47F68"/>
    <w:rsid w:val="12E45EAE"/>
    <w:rsid w:val="135A2C50"/>
    <w:rsid w:val="135F532F"/>
    <w:rsid w:val="136E5045"/>
    <w:rsid w:val="137139DD"/>
    <w:rsid w:val="137E6062"/>
    <w:rsid w:val="13913208"/>
    <w:rsid w:val="139956FE"/>
    <w:rsid w:val="139B295D"/>
    <w:rsid w:val="13F939D2"/>
    <w:rsid w:val="145C563C"/>
    <w:rsid w:val="147E5BE1"/>
    <w:rsid w:val="14D95EAF"/>
    <w:rsid w:val="151076A6"/>
    <w:rsid w:val="15726BB4"/>
    <w:rsid w:val="15E769FF"/>
    <w:rsid w:val="16930502"/>
    <w:rsid w:val="181053A0"/>
    <w:rsid w:val="187F02CD"/>
    <w:rsid w:val="19496E59"/>
    <w:rsid w:val="19B222FE"/>
    <w:rsid w:val="19F4554F"/>
    <w:rsid w:val="1A2644C2"/>
    <w:rsid w:val="1A4F7FCF"/>
    <w:rsid w:val="1A5B3557"/>
    <w:rsid w:val="1A6A609B"/>
    <w:rsid w:val="1AAF66EA"/>
    <w:rsid w:val="1AB86F88"/>
    <w:rsid w:val="1ABD12AA"/>
    <w:rsid w:val="1B0276A0"/>
    <w:rsid w:val="1B563CA7"/>
    <w:rsid w:val="1BB03464"/>
    <w:rsid w:val="1BBA4C76"/>
    <w:rsid w:val="1BC43139"/>
    <w:rsid w:val="1BD8771D"/>
    <w:rsid w:val="1BDB5A51"/>
    <w:rsid w:val="1BF56A80"/>
    <w:rsid w:val="1BF81421"/>
    <w:rsid w:val="1C3B6874"/>
    <w:rsid w:val="1C423AA6"/>
    <w:rsid w:val="1C6241A0"/>
    <w:rsid w:val="1D120D9B"/>
    <w:rsid w:val="1D834565"/>
    <w:rsid w:val="1E105EE8"/>
    <w:rsid w:val="1E172D23"/>
    <w:rsid w:val="1E8373D6"/>
    <w:rsid w:val="1EFC2E2C"/>
    <w:rsid w:val="1F106883"/>
    <w:rsid w:val="1F642BD6"/>
    <w:rsid w:val="201F4344"/>
    <w:rsid w:val="209A7F70"/>
    <w:rsid w:val="21834CC2"/>
    <w:rsid w:val="22233228"/>
    <w:rsid w:val="22757B8A"/>
    <w:rsid w:val="229A1FD2"/>
    <w:rsid w:val="23917B8B"/>
    <w:rsid w:val="23A5316F"/>
    <w:rsid w:val="243F4CFA"/>
    <w:rsid w:val="2455570E"/>
    <w:rsid w:val="25590A42"/>
    <w:rsid w:val="263B064E"/>
    <w:rsid w:val="267B5B67"/>
    <w:rsid w:val="26A73E2C"/>
    <w:rsid w:val="26CD4C7B"/>
    <w:rsid w:val="26F7531E"/>
    <w:rsid w:val="273A266B"/>
    <w:rsid w:val="27493DB6"/>
    <w:rsid w:val="276E3ADD"/>
    <w:rsid w:val="2795645B"/>
    <w:rsid w:val="27DA307F"/>
    <w:rsid w:val="27ED0BCD"/>
    <w:rsid w:val="282834A2"/>
    <w:rsid w:val="285B0824"/>
    <w:rsid w:val="28672CE6"/>
    <w:rsid w:val="294C5682"/>
    <w:rsid w:val="29505F4A"/>
    <w:rsid w:val="2A0D0A93"/>
    <w:rsid w:val="2A0F791A"/>
    <w:rsid w:val="2A544DB1"/>
    <w:rsid w:val="2A9B383D"/>
    <w:rsid w:val="2A9C724D"/>
    <w:rsid w:val="2AF25295"/>
    <w:rsid w:val="2B0D6E8D"/>
    <w:rsid w:val="2B360FB0"/>
    <w:rsid w:val="2BE7132C"/>
    <w:rsid w:val="2BFB3C45"/>
    <w:rsid w:val="2C5004CE"/>
    <w:rsid w:val="2DAD7D27"/>
    <w:rsid w:val="2DF77A5B"/>
    <w:rsid w:val="2E2C6E96"/>
    <w:rsid w:val="2E543B1D"/>
    <w:rsid w:val="2E583136"/>
    <w:rsid w:val="2E6703BC"/>
    <w:rsid w:val="2EFF553C"/>
    <w:rsid w:val="2F5B1C83"/>
    <w:rsid w:val="2FBB4B29"/>
    <w:rsid w:val="2FCB7177"/>
    <w:rsid w:val="2FD22680"/>
    <w:rsid w:val="30233E1C"/>
    <w:rsid w:val="303A1C73"/>
    <w:rsid w:val="304179E0"/>
    <w:rsid w:val="30C93E07"/>
    <w:rsid w:val="30DA7DC5"/>
    <w:rsid w:val="311C669E"/>
    <w:rsid w:val="311E2AFE"/>
    <w:rsid w:val="316D4EC2"/>
    <w:rsid w:val="31853996"/>
    <w:rsid w:val="321972D9"/>
    <w:rsid w:val="32847DC8"/>
    <w:rsid w:val="328945B2"/>
    <w:rsid w:val="32A02365"/>
    <w:rsid w:val="32F023F3"/>
    <w:rsid w:val="33836CB2"/>
    <w:rsid w:val="338F4377"/>
    <w:rsid w:val="33BE0066"/>
    <w:rsid w:val="33FE4DD6"/>
    <w:rsid w:val="340F6AA4"/>
    <w:rsid w:val="34E50F25"/>
    <w:rsid w:val="352165B3"/>
    <w:rsid w:val="353227D7"/>
    <w:rsid w:val="35886BA4"/>
    <w:rsid w:val="36512248"/>
    <w:rsid w:val="368F16D6"/>
    <w:rsid w:val="36DF069B"/>
    <w:rsid w:val="36E27C17"/>
    <w:rsid w:val="37870A08"/>
    <w:rsid w:val="38406F23"/>
    <w:rsid w:val="386030FE"/>
    <w:rsid w:val="388D5BBF"/>
    <w:rsid w:val="3A421A33"/>
    <w:rsid w:val="3A4B3A3B"/>
    <w:rsid w:val="3AD475D0"/>
    <w:rsid w:val="3AE673E8"/>
    <w:rsid w:val="3B0633B9"/>
    <w:rsid w:val="3B1119E3"/>
    <w:rsid w:val="3BEB238A"/>
    <w:rsid w:val="3C206D69"/>
    <w:rsid w:val="3C9907FF"/>
    <w:rsid w:val="3CF50600"/>
    <w:rsid w:val="3D6204E3"/>
    <w:rsid w:val="3D832B66"/>
    <w:rsid w:val="3DA34916"/>
    <w:rsid w:val="3DB904D1"/>
    <w:rsid w:val="3DDC7FAA"/>
    <w:rsid w:val="3E9454FB"/>
    <w:rsid w:val="3EAB739B"/>
    <w:rsid w:val="3EB101E5"/>
    <w:rsid w:val="3F2C0580"/>
    <w:rsid w:val="3F2C4265"/>
    <w:rsid w:val="3FDA780E"/>
    <w:rsid w:val="3FE2617A"/>
    <w:rsid w:val="40281CF3"/>
    <w:rsid w:val="407B62E0"/>
    <w:rsid w:val="40A30D13"/>
    <w:rsid w:val="40AB2E92"/>
    <w:rsid w:val="40AF5BEC"/>
    <w:rsid w:val="40DE25C2"/>
    <w:rsid w:val="411C0E88"/>
    <w:rsid w:val="41325355"/>
    <w:rsid w:val="41C35D7A"/>
    <w:rsid w:val="420C40C2"/>
    <w:rsid w:val="42545BEA"/>
    <w:rsid w:val="42BC6DF5"/>
    <w:rsid w:val="42D147B3"/>
    <w:rsid w:val="42F64AF0"/>
    <w:rsid w:val="42F70E98"/>
    <w:rsid w:val="43413297"/>
    <w:rsid w:val="436B570B"/>
    <w:rsid w:val="4380036B"/>
    <w:rsid w:val="43E07D01"/>
    <w:rsid w:val="445821AA"/>
    <w:rsid w:val="446365BA"/>
    <w:rsid w:val="447D21CE"/>
    <w:rsid w:val="44A7472E"/>
    <w:rsid w:val="44C10D55"/>
    <w:rsid w:val="44E92866"/>
    <w:rsid w:val="456B5DBC"/>
    <w:rsid w:val="45810E20"/>
    <w:rsid w:val="45D44938"/>
    <w:rsid w:val="45FC1D53"/>
    <w:rsid w:val="46083338"/>
    <w:rsid w:val="46134B33"/>
    <w:rsid w:val="467E4C9A"/>
    <w:rsid w:val="46B33F64"/>
    <w:rsid w:val="46F4142A"/>
    <w:rsid w:val="46FA7924"/>
    <w:rsid w:val="47525F0A"/>
    <w:rsid w:val="47D02DAA"/>
    <w:rsid w:val="4867605D"/>
    <w:rsid w:val="48F77A37"/>
    <w:rsid w:val="49D500B4"/>
    <w:rsid w:val="4A2903E1"/>
    <w:rsid w:val="4A38046D"/>
    <w:rsid w:val="4A4F1EC1"/>
    <w:rsid w:val="4A8C4D6E"/>
    <w:rsid w:val="4A9E78D4"/>
    <w:rsid w:val="4AF8650C"/>
    <w:rsid w:val="4B091BC6"/>
    <w:rsid w:val="4B160D8D"/>
    <w:rsid w:val="4B531486"/>
    <w:rsid w:val="4B665818"/>
    <w:rsid w:val="4B7B4D3F"/>
    <w:rsid w:val="4BE00AC1"/>
    <w:rsid w:val="4BF91EE6"/>
    <w:rsid w:val="4CE67C44"/>
    <w:rsid w:val="4D8553D2"/>
    <w:rsid w:val="4D901C3B"/>
    <w:rsid w:val="4DD47494"/>
    <w:rsid w:val="4DE066C0"/>
    <w:rsid w:val="4E0B7354"/>
    <w:rsid w:val="4E9C38A7"/>
    <w:rsid w:val="4EA803EF"/>
    <w:rsid w:val="4EBB1E15"/>
    <w:rsid w:val="4F674BCE"/>
    <w:rsid w:val="4FEE0938"/>
    <w:rsid w:val="514D5859"/>
    <w:rsid w:val="515936BF"/>
    <w:rsid w:val="51AB374F"/>
    <w:rsid w:val="51CC4053"/>
    <w:rsid w:val="51DA3406"/>
    <w:rsid w:val="522530D1"/>
    <w:rsid w:val="522971BD"/>
    <w:rsid w:val="525F00EA"/>
    <w:rsid w:val="527622F9"/>
    <w:rsid w:val="52B149DD"/>
    <w:rsid w:val="52F974AE"/>
    <w:rsid w:val="538B09F0"/>
    <w:rsid w:val="5395358F"/>
    <w:rsid w:val="53A730A2"/>
    <w:rsid w:val="53EE565D"/>
    <w:rsid w:val="545E3F7C"/>
    <w:rsid w:val="54824C09"/>
    <w:rsid w:val="54DB27FA"/>
    <w:rsid w:val="552037D4"/>
    <w:rsid w:val="555612EE"/>
    <w:rsid w:val="555C0EAB"/>
    <w:rsid w:val="559262A5"/>
    <w:rsid w:val="55C44FC0"/>
    <w:rsid w:val="56904570"/>
    <w:rsid w:val="56907A9D"/>
    <w:rsid w:val="56E36797"/>
    <w:rsid w:val="57030908"/>
    <w:rsid w:val="57321F4A"/>
    <w:rsid w:val="574753BD"/>
    <w:rsid w:val="574D67AC"/>
    <w:rsid w:val="57663A74"/>
    <w:rsid w:val="57705457"/>
    <w:rsid w:val="57A12042"/>
    <w:rsid w:val="57CF6D19"/>
    <w:rsid w:val="5834384C"/>
    <w:rsid w:val="58500BC6"/>
    <w:rsid w:val="596655D3"/>
    <w:rsid w:val="59726434"/>
    <w:rsid w:val="59834830"/>
    <w:rsid w:val="59C82EFE"/>
    <w:rsid w:val="5A3F57E2"/>
    <w:rsid w:val="5AC82C3F"/>
    <w:rsid w:val="5AD62423"/>
    <w:rsid w:val="5AF02F48"/>
    <w:rsid w:val="5B376929"/>
    <w:rsid w:val="5B78648A"/>
    <w:rsid w:val="5BED7702"/>
    <w:rsid w:val="5C0C0356"/>
    <w:rsid w:val="5C172DA1"/>
    <w:rsid w:val="5C7624D0"/>
    <w:rsid w:val="5CE9556C"/>
    <w:rsid w:val="5D036120"/>
    <w:rsid w:val="5D3906FA"/>
    <w:rsid w:val="5DF47C81"/>
    <w:rsid w:val="5E382FA8"/>
    <w:rsid w:val="5E3B0E46"/>
    <w:rsid w:val="5E3B6F4D"/>
    <w:rsid w:val="5E860D77"/>
    <w:rsid w:val="5E97012D"/>
    <w:rsid w:val="5EA31B36"/>
    <w:rsid w:val="5EE41CF8"/>
    <w:rsid w:val="5EE42F56"/>
    <w:rsid w:val="5F591349"/>
    <w:rsid w:val="5F70704B"/>
    <w:rsid w:val="60297EF4"/>
    <w:rsid w:val="602A004C"/>
    <w:rsid w:val="6096109C"/>
    <w:rsid w:val="60982301"/>
    <w:rsid w:val="60DD0100"/>
    <w:rsid w:val="61F530F1"/>
    <w:rsid w:val="62226033"/>
    <w:rsid w:val="62417CA0"/>
    <w:rsid w:val="624947A0"/>
    <w:rsid w:val="63135D57"/>
    <w:rsid w:val="63C953F4"/>
    <w:rsid w:val="64557BB9"/>
    <w:rsid w:val="64734EE9"/>
    <w:rsid w:val="65763719"/>
    <w:rsid w:val="65DA4BC9"/>
    <w:rsid w:val="66001B4F"/>
    <w:rsid w:val="66383E48"/>
    <w:rsid w:val="667203EA"/>
    <w:rsid w:val="66EC0C24"/>
    <w:rsid w:val="67177C7D"/>
    <w:rsid w:val="6766357F"/>
    <w:rsid w:val="67D03B9C"/>
    <w:rsid w:val="68402565"/>
    <w:rsid w:val="68C130F0"/>
    <w:rsid w:val="68C67076"/>
    <w:rsid w:val="68DD18EE"/>
    <w:rsid w:val="69607C78"/>
    <w:rsid w:val="6998340B"/>
    <w:rsid w:val="69DB41E7"/>
    <w:rsid w:val="6A08226E"/>
    <w:rsid w:val="6A1F42E1"/>
    <w:rsid w:val="6A342505"/>
    <w:rsid w:val="6A3F5961"/>
    <w:rsid w:val="6A5F48C4"/>
    <w:rsid w:val="6AA7187A"/>
    <w:rsid w:val="6B844B37"/>
    <w:rsid w:val="6B9E1CA8"/>
    <w:rsid w:val="6C0E4D80"/>
    <w:rsid w:val="6C6C0DEB"/>
    <w:rsid w:val="6C7328D5"/>
    <w:rsid w:val="6C7367FD"/>
    <w:rsid w:val="6CB30F22"/>
    <w:rsid w:val="6D1D0BB7"/>
    <w:rsid w:val="6D4E1FD8"/>
    <w:rsid w:val="6D8F1070"/>
    <w:rsid w:val="6DD34110"/>
    <w:rsid w:val="6DF5141E"/>
    <w:rsid w:val="6E224BDB"/>
    <w:rsid w:val="6E2E45CA"/>
    <w:rsid w:val="6E663871"/>
    <w:rsid w:val="6E8C0DC8"/>
    <w:rsid w:val="6EA942CF"/>
    <w:rsid w:val="6EC75E3A"/>
    <w:rsid w:val="6F0A4027"/>
    <w:rsid w:val="6F35669D"/>
    <w:rsid w:val="6F3B32B8"/>
    <w:rsid w:val="6F6D2214"/>
    <w:rsid w:val="6FAD5B5E"/>
    <w:rsid w:val="6FF36429"/>
    <w:rsid w:val="700350A8"/>
    <w:rsid w:val="70417D47"/>
    <w:rsid w:val="70AF1E6D"/>
    <w:rsid w:val="71AB6DE5"/>
    <w:rsid w:val="71B872A5"/>
    <w:rsid w:val="71FF1119"/>
    <w:rsid w:val="72330573"/>
    <w:rsid w:val="724C0BED"/>
    <w:rsid w:val="72826C69"/>
    <w:rsid w:val="72975D9B"/>
    <w:rsid w:val="72BD0D51"/>
    <w:rsid w:val="72DF1AF3"/>
    <w:rsid w:val="72F60A3D"/>
    <w:rsid w:val="732B5953"/>
    <w:rsid w:val="73911FAE"/>
    <w:rsid w:val="73F9719E"/>
    <w:rsid w:val="73FA6E09"/>
    <w:rsid w:val="74727E1D"/>
    <w:rsid w:val="74875BCD"/>
    <w:rsid w:val="74A20ABD"/>
    <w:rsid w:val="74A60E95"/>
    <w:rsid w:val="758F199A"/>
    <w:rsid w:val="76185F5E"/>
    <w:rsid w:val="76236CEC"/>
    <w:rsid w:val="76467E3A"/>
    <w:rsid w:val="765E07E6"/>
    <w:rsid w:val="768E0646"/>
    <w:rsid w:val="76A13FEC"/>
    <w:rsid w:val="76B12C58"/>
    <w:rsid w:val="76DD22F9"/>
    <w:rsid w:val="77E95C8C"/>
    <w:rsid w:val="77FB68B6"/>
    <w:rsid w:val="786D30E9"/>
    <w:rsid w:val="79095C4E"/>
    <w:rsid w:val="792A6335"/>
    <w:rsid w:val="79461E30"/>
    <w:rsid w:val="79501AEB"/>
    <w:rsid w:val="79B91DC0"/>
    <w:rsid w:val="79D42CCE"/>
    <w:rsid w:val="79D5649C"/>
    <w:rsid w:val="79EB5F8C"/>
    <w:rsid w:val="7A082003"/>
    <w:rsid w:val="7A142CF5"/>
    <w:rsid w:val="7A446CE5"/>
    <w:rsid w:val="7B3926D2"/>
    <w:rsid w:val="7B5E6582"/>
    <w:rsid w:val="7B7664D3"/>
    <w:rsid w:val="7B964CAB"/>
    <w:rsid w:val="7BCE54DE"/>
    <w:rsid w:val="7C184DA5"/>
    <w:rsid w:val="7CB442B7"/>
    <w:rsid w:val="7CCE13C6"/>
    <w:rsid w:val="7CF71901"/>
    <w:rsid w:val="7DC9268B"/>
    <w:rsid w:val="7E025603"/>
    <w:rsid w:val="7F186C22"/>
    <w:rsid w:val="7F9D09F4"/>
    <w:rsid w:val="7FB8631B"/>
    <w:rsid w:val="7FF513D4"/>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qFormat="1" w:unhideWhenUsed="0" w:uiPriority="0" w:semiHidden="0" w:name="HTML Cite"/>
    <w:lsdException w:qFormat="1" w:unhideWhenUsed="0" w:uiPriority="0" w:semiHidden="0"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semiHidden="0"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560" w:firstLineChars="200"/>
      <w:jc w:val="both"/>
    </w:pPr>
    <w:rPr>
      <w:rFonts w:ascii="Times New Roman" w:hAnsi="Times New Roman" w:eastAsia="宋体" w:cs="Times New Roman"/>
      <w:color w:val="000000"/>
      <w:kern w:val="2"/>
      <w:sz w:val="28"/>
      <w:szCs w:val="28"/>
      <w:lang w:val="en-US" w:eastAsia="zh-CN" w:bidi="ar-SA"/>
    </w:rPr>
  </w:style>
  <w:style w:type="paragraph" w:styleId="2">
    <w:name w:val="heading 1"/>
    <w:basedOn w:val="1"/>
    <w:next w:val="1"/>
    <w:link w:val="41"/>
    <w:qFormat/>
    <w:uiPriority w:val="0"/>
    <w:pPr>
      <w:keepNext/>
      <w:keepLines/>
      <w:spacing w:before="50" w:beforeLines="50" w:after="50" w:afterLines="50"/>
      <w:ind w:firstLine="0" w:firstLineChars="0"/>
      <w:jc w:val="center"/>
      <w:outlineLvl w:val="0"/>
    </w:pPr>
    <w:rPr>
      <w:rFonts w:eastAsia="黑体"/>
      <w:b/>
      <w:bCs/>
      <w:kern w:val="44"/>
      <w:sz w:val="32"/>
      <w:szCs w:val="32"/>
    </w:rPr>
  </w:style>
  <w:style w:type="paragraph" w:styleId="3">
    <w:name w:val="heading 2"/>
    <w:basedOn w:val="1"/>
    <w:next w:val="1"/>
    <w:link w:val="42"/>
    <w:qFormat/>
    <w:uiPriority w:val="0"/>
    <w:pPr>
      <w:keepNext/>
      <w:keepLines/>
      <w:spacing w:before="50" w:beforeLines="50" w:after="50" w:afterLines="50"/>
      <w:ind w:firstLine="0" w:firstLineChars="0"/>
      <w:outlineLvl w:val="1"/>
    </w:pPr>
    <w:rPr>
      <w:rFonts w:eastAsia="黑体"/>
      <w:b/>
      <w:bCs/>
      <w:kern w:val="0"/>
      <w:sz w:val="30"/>
      <w:szCs w:val="30"/>
    </w:rPr>
  </w:style>
  <w:style w:type="paragraph" w:styleId="4">
    <w:name w:val="heading 3"/>
    <w:basedOn w:val="1"/>
    <w:next w:val="1"/>
    <w:link w:val="43"/>
    <w:qFormat/>
    <w:uiPriority w:val="0"/>
    <w:pPr>
      <w:keepNext/>
      <w:keepLines/>
      <w:ind w:firstLine="0" w:firstLineChars="0"/>
      <w:outlineLvl w:val="2"/>
    </w:pPr>
    <w:rPr>
      <w:b/>
    </w:rPr>
  </w:style>
  <w:style w:type="paragraph" w:styleId="5">
    <w:name w:val="heading 4"/>
    <w:basedOn w:val="1"/>
    <w:next w:val="1"/>
    <w:link w:val="44"/>
    <w:unhideWhenUsed/>
    <w:qFormat/>
    <w:uiPriority w:val="9"/>
    <w:pPr>
      <w:keepNext/>
      <w:keepLines/>
      <w:spacing w:before="280" w:after="290" w:line="376" w:lineRule="auto"/>
      <w:outlineLvl w:val="3"/>
    </w:pPr>
    <w:rPr>
      <w:rFonts w:asciiTheme="majorHAnsi" w:hAnsiTheme="majorHAnsi" w:eastAsiaTheme="majorEastAsia" w:cstheme="majorBidi"/>
      <w:b/>
      <w:bCs/>
    </w:rPr>
  </w:style>
  <w:style w:type="paragraph" w:styleId="6">
    <w:name w:val="heading 5"/>
    <w:basedOn w:val="1"/>
    <w:next w:val="1"/>
    <w:unhideWhenUsed/>
    <w:qFormat/>
    <w:uiPriority w:val="9"/>
    <w:pPr>
      <w:keepNext/>
      <w:keepLines/>
      <w:spacing w:before="280" w:after="290" w:line="372" w:lineRule="auto"/>
      <w:outlineLvl w:val="4"/>
    </w:pPr>
    <w:rPr>
      <w:b/>
    </w:rPr>
  </w:style>
  <w:style w:type="character" w:default="1" w:styleId="29">
    <w:name w:val="Default Paragraph Font"/>
    <w:unhideWhenUsed/>
    <w:qFormat/>
    <w:uiPriority w:val="1"/>
  </w:style>
  <w:style w:type="table" w:default="1" w:styleId="39">
    <w:name w:val="Normal Table"/>
    <w:unhideWhenUsed/>
    <w:qFormat/>
    <w:uiPriority w:val="99"/>
    <w:tblPr>
      <w:tblLayout w:type="fixed"/>
      <w:tblCellMar>
        <w:top w:w="0" w:type="dxa"/>
        <w:left w:w="108" w:type="dxa"/>
        <w:bottom w:w="0" w:type="dxa"/>
        <w:right w:w="108" w:type="dxa"/>
      </w:tblCellMar>
    </w:tblPr>
  </w:style>
  <w:style w:type="paragraph" w:styleId="7">
    <w:name w:val="annotation subject"/>
    <w:basedOn w:val="8"/>
    <w:next w:val="8"/>
    <w:link w:val="55"/>
    <w:unhideWhenUsed/>
    <w:qFormat/>
    <w:uiPriority w:val="0"/>
    <w:rPr>
      <w:b/>
      <w:bCs/>
    </w:rPr>
  </w:style>
  <w:style w:type="paragraph" w:styleId="8">
    <w:name w:val="annotation text"/>
    <w:basedOn w:val="1"/>
    <w:link w:val="54"/>
    <w:qFormat/>
    <w:uiPriority w:val="0"/>
    <w:pPr>
      <w:jc w:val="left"/>
    </w:pPr>
  </w:style>
  <w:style w:type="paragraph" w:styleId="9">
    <w:name w:val="toc 7"/>
    <w:basedOn w:val="1"/>
    <w:next w:val="1"/>
    <w:unhideWhenUsed/>
    <w:qFormat/>
    <w:uiPriority w:val="39"/>
    <w:pPr>
      <w:spacing w:line="240" w:lineRule="auto"/>
      <w:ind w:left="2520" w:leftChars="1200" w:firstLine="0" w:firstLineChars="0"/>
    </w:pPr>
    <w:rPr>
      <w:rFonts w:asciiTheme="minorHAnsi" w:hAnsiTheme="minorHAnsi" w:eastAsiaTheme="minorEastAsia" w:cstheme="minorBidi"/>
      <w:color w:val="auto"/>
      <w:sz w:val="21"/>
      <w:szCs w:val="22"/>
    </w:rPr>
  </w:style>
  <w:style w:type="paragraph" w:styleId="10">
    <w:name w:val="caption"/>
    <w:basedOn w:val="11"/>
    <w:next w:val="1"/>
    <w:link w:val="45"/>
    <w:unhideWhenUsed/>
    <w:qFormat/>
    <w:uiPriority w:val="35"/>
    <w:pPr>
      <w:spacing w:before="100" w:beforeLines="100"/>
    </w:pPr>
    <w:rPr>
      <w:rFonts w:ascii="Arial" w:hAnsi="Arial" w:eastAsia="黑体"/>
      <w:sz w:val="20"/>
    </w:rPr>
  </w:style>
  <w:style w:type="paragraph" w:customStyle="1" w:styleId="11">
    <w:name w:val="无缩进正文图片等"/>
    <w:basedOn w:val="12"/>
    <w:qFormat/>
    <w:uiPriority w:val="0"/>
    <w:pPr>
      <w:spacing w:line="360" w:lineRule="auto"/>
    </w:pPr>
    <w:rPr>
      <w:rFonts w:ascii="Calibri" w:hAnsi="Calibri"/>
      <w:sz w:val="28"/>
    </w:rPr>
  </w:style>
  <w:style w:type="paragraph" w:customStyle="1" w:styleId="12">
    <w:name w:val="表格"/>
    <w:basedOn w:val="1"/>
    <w:next w:val="1"/>
    <w:qFormat/>
    <w:uiPriority w:val="0"/>
    <w:pPr>
      <w:spacing w:line="240" w:lineRule="auto"/>
      <w:ind w:firstLine="0" w:firstLineChars="0"/>
      <w:jc w:val="center"/>
    </w:pPr>
    <w:rPr>
      <w:rFonts w:asciiTheme="minorHAnsi" w:hAnsiTheme="minorHAnsi"/>
      <w:sz w:val="21"/>
    </w:rPr>
  </w:style>
  <w:style w:type="paragraph" w:styleId="13">
    <w:name w:val="Body Text"/>
    <w:basedOn w:val="1"/>
    <w:qFormat/>
    <w:uiPriority w:val="1"/>
    <w:pPr>
      <w:ind w:firstLine="400"/>
    </w:pPr>
    <w:rPr>
      <w:rFonts w:ascii="宋体" w:hAnsi="宋体"/>
    </w:rPr>
  </w:style>
  <w:style w:type="paragraph" w:styleId="14">
    <w:name w:val="toc 5"/>
    <w:basedOn w:val="1"/>
    <w:next w:val="1"/>
    <w:unhideWhenUsed/>
    <w:qFormat/>
    <w:uiPriority w:val="39"/>
    <w:pPr>
      <w:spacing w:line="240" w:lineRule="auto"/>
      <w:ind w:left="1680" w:leftChars="800" w:firstLine="0" w:firstLineChars="0"/>
    </w:pPr>
    <w:rPr>
      <w:rFonts w:asciiTheme="minorHAnsi" w:hAnsiTheme="minorHAnsi" w:eastAsiaTheme="minorEastAsia" w:cstheme="minorBidi"/>
      <w:color w:val="auto"/>
      <w:sz w:val="21"/>
      <w:szCs w:val="22"/>
    </w:rPr>
  </w:style>
  <w:style w:type="paragraph" w:styleId="15">
    <w:name w:val="toc 3"/>
    <w:basedOn w:val="1"/>
    <w:next w:val="1"/>
    <w:qFormat/>
    <w:uiPriority w:val="39"/>
    <w:pPr>
      <w:ind w:left="840" w:leftChars="400"/>
    </w:pPr>
  </w:style>
  <w:style w:type="paragraph" w:styleId="16">
    <w:name w:val="toc 8"/>
    <w:basedOn w:val="1"/>
    <w:next w:val="1"/>
    <w:unhideWhenUsed/>
    <w:qFormat/>
    <w:uiPriority w:val="39"/>
    <w:pPr>
      <w:spacing w:line="240" w:lineRule="auto"/>
      <w:ind w:left="2940" w:leftChars="1400" w:firstLine="0" w:firstLineChars="0"/>
    </w:pPr>
    <w:rPr>
      <w:rFonts w:asciiTheme="minorHAnsi" w:hAnsiTheme="minorHAnsi" w:eastAsiaTheme="minorEastAsia" w:cstheme="minorBidi"/>
      <w:color w:val="auto"/>
      <w:sz w:val="21"/>
      <w:szCs w:val="22"/>
    </w:rPr>
  </w:style>
  <w:style w:type="paragraph" w:styleId="17">
    <w:name w:val="Date"/>
    <w:basedOn w:val="1"/>
    <w:next w:val="1"/>
    <w:qFormat/>
    <w:uiPriority w:val="0"/>
    <w:rPr>
      <w:b/>
      <w:szCs w:val="20"/>
    </w:rPr>
  </w:style>
  <w:style w:type="paragraph" w:styleId="18">
    <w:name w:val="Balloon Text"/>
    <w:basedOn w:val="1"/>
    <w:link w:val="53"/>
    <w:unhideWhenUsed/>
    <w:qFormat/>
    <w:uiPriority w:val="0"/>
    <w:pPr>
      <w:spacing w:line="240" w:lineRule="auto"/>
    </w:pPr>
    <w:rPr>
      <w:sz w:val="18"/>
      <w:szCs w:val="18"/>
    </w:rPr>
  </w:style>
  <w:style w:type="paragraph" w:styleId="19">
    <w:name w:val="footer"/>
    <w:basedOn w:val="1"/>
    <w:link w:val="46"/>
    <w:qFormat/>
    <w:uiPriority w:val="99"/>
    <w:pPr>
      <w:tabs>
        <w:tab w:val="center" w:pos="4153"/>
        <w:tab w:val="right" w:pos="8306"/>
      </w:tabs>
      <w:snapToGrid w:val="0"/>
      <w:jc w:val="left"/>
    </w:pPr>
    <w:rPr>
      <w:sz w:val="18"/>
      <w:szCs w:val="18"/>
    </w:rPr>
  </w:style>
  <w:style w:type="paragraph" w:styleId="20">
    <w:name w:val="header"/>
    <w:basedOn w:val="1"/>
    <w:link w:val="4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1">
    <w:name w:val="toc 1"/>
    <w:basedOn w:val="1"/>
    <w:next w:val="1"/>
    <w:qFormat/>
    <w:uiPriority w:val="39"/>
  </w:style>
  <w:style w:type="paragraph" w:styleId="22">
    <w:name w:val="toc 4"/>
    <w:basedOn w:val="1"/>
    <w:next w:val="1"/>
    <w:unhideWhenUsed/>
    <w:qFormat/>
    <w:uiPriority w:val="39"/>
    <w:pPr>
      <w:spacing w:line="240" w:lineRule="auto"/>
      <w:ind w:left="1260" w:leftChars="600" w:firstLine="0" w:firstLineChars="0"/>
    </w:pPr>
    <w:rPr>
      <w:rFonts w:asciiTheme="minorHAnsi" w:hAnsiTheme="minorHAnsi" w:eastAsiaTheme="minorEastAsia" w:cstheme="minorBidi"/>
      <w:color w:val="auto"/>
      <w:sz w:val="21"/>
      <w:szCs w:val="22"/>
    </w:rPr>
  </w:style>
  <w:style w:type="paragraph" w:styleId="23">
    <w:name w:val="footnote text"/>
    <w:basedOn w:val="1"/>
    <w:link w:val="48"/>
    <w:qFormat/>
    <w:uiPriority w:val="0"/>
    <w:pPr>
      <w:snapToGrid w:val="0"/>
      <w:jc w:val="left"/>
    </w:pPr>
    <w:rPr>
      <w:sz w:val="18"/>
      <w:szCs w:val="18"/>
    </w:rPr>
  </w:style>
  <w:style w:type="paragraph" w:styleId="24">
    <w:name w:val="toc 6"/>
    <w:basedOn w:val="1"/>
    <w:next w:val="1"/>
    <w:unhideWhenUsed/>
    <w:qFormat/>
    <w:uiPriority w:val="39"/>
    <w:pPr>
      <w:spacing w:line="240" w:lineRule="auto"/>
      <w:ind w:left="2100" w:leftChars="1000" w:firstLine="0" w:firstLineChars="0"/>
    </w:pPr>
    <w:rPr>
      <w:rFonts w:asciiTheme="minorHAnsi" w:hAnsiTheme="minorHAnsi" w:eastAsiaTheme="minorEastAsia" w:cstheme="minorBidi"/>
      <w:color w:val="auto"/>
      <w:sz w:val="21"/>
      <w:szCs w:val="22"/>
    </w:rPr>
  </w:style>
  <w:style w:type="paragraph" w:styleId="25">
    <w:name w:val="toc 2"/>
    <w:basedOn w:val="1"/>
    <w:next w:val="1"/>
    <w:qFormat/>
    <w:uiPriority w:val="39"/>
    <w:pPr>
      <w:ind w:left="420" w:leftChars="200"/>
    </w:pPr>
  </w:style>
  <w:style w:type="paragraph" w:styleId="26">
    <w:name w:val="toc 9"/>
    <w:basedOn w:val="1"/>
    <w:next w:val="1"/>
    <w:unhideWhenUsed/>
    <w:qFormat/>
    <w:uiPriority w:val="39"/>
    <w:pPr>
      <w:spacing w:line="240" w:lineRule="auto"/>
      <w:ind w:left="3360" w:leftChars="1600" w:firstLine="0" w:firstLineChars="0"/>
    </w:pPr>
    <w:rPr>
      <w:rFonts w:asciiTheme="minorHAnsi" w:hAnsiTheme="minorHAnsi" w:eastAsiaTheme="minorEastAsia" w:cstheme="minorBidi"/>
      <w:color w:val="auto"/>
      <w:sz w:val="21"/>
      <w:szCs w:val="22"/>
    </w:rPr>
  </w:style>
  <w:style w:type="paragraph" w:styleId="27">
    <w:name w:val="HTML Preformatted"/>
    <w:basedOn w:val="1"/>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Cs w:val="24"/>
    </w:rPr>
  </w:style>
  <w:style w:type="paragraph" w:styleId="28">
    <w:name w:val="Normal (Web)"/>
    <w:basedOn w:val="1"/>
    <w:qFormat/>
    <w:uiPriority w:val="0"/>
    <w:pPr>
      <w:jc w:val="left"/>
    </w:pPr>
    <w:rPr>
      <w:kern w:val="0"/>
      <w:sz w:val="24"/>
    </w:rPr>
  </w:style>
  <w:style w:type="character" w:styleId="30">
    <w:name w:val="Strong"/>
    <w:basedOn w:val="29"/>
    <w:qFormat/>
    <w:uiPriority w:val="0"/>
    <w:rPr>
      <w:b/>
    </w:rPr>
  </w:style>
  <w:style w:type="character" w:styleId="31">
    <w:name w:val="page number"/>
    <w:basedOn w:val="29"/>
    <w:qFormat/>
    <w:uiPriority w:val="0"/>
  </w:style>
  <w:style w:type="character" w:styleId="32">
    <w:name w:val="FollowedHyperlink"/>
    <w:basedOn w:val="29"/>
    <w:qFormat/>
    <w:uiPriority w:val="0"/>
    <w:rPr>
      <w:color w:val="222222"/>
      <w:u w:val="none"/>
    </w:rPr>
  </w:style>
  <w:style w:type="character" w:styleId="33">
    <w:name w:val="Emphasis"/>
    <w:basedOn w:val="29"/>
    <w:qFormat/>
    <w:uiPriority w:val="0"/>
    <w:rPr>
      <w:color w:val="CCCCCC"/>
      <w:sz w:val="18"/>
      <w:szCs w:val="18"/>
    </w:rPr>
  </w:style>
  <w:style w:type="character" w:styleId="34">
    <w:name w:val="Hyperlink"/>
    <w:qFormat/>
    <w:uiPriority w:val="99"/>
    <w:rPr>
      <w:color w:val="0563C1"/>
      <w:u w:val="single"/>
    </w:rPr>
  </w:style>
  <w:style w:type="character" w:styleId="35">
    <w:name w:val="HTML Code"/>
    <w:basedOn w:val="29"/>
    <w:qFormat/>
    <w:uiPriority w:val="0"/>
    <w:rPr>
      <w:rFonts w:ascii="Courier New" w:hAnsi="Courier New"/>
      <w:sz w:val="20"/>
    </w:rPr>
  </w:style>
  <w:style w:type="character" w:styleId="36">
    <w:name w:val="annotation reference"/>
    <w:qFormat/>
    <w:uiPriority w:val="0"/>
    <w:rPr>
      <w:sz w:val="21"/>
      <w:szCs w:val="21"/>
    </w:rPr>
  </w:style>
  <w:style w:type="character" w:styleId="37">
    <w:name w:val="HTML Cite"/>
    <w:basedOn w:val="29"/>
    <w:qFormat/>
    <w:uiPriority w:val="0"/>
  </w:style>
  <w:style w:type="character" w:styleId="38">
    <w:name w:val="footnote reference"/>
    <w:basedOn w:val="29"/>
    <w:qFormat/>
    <w:uiPriority w:val="0"/>
    <w:rPr>
      <w:vertAlign w:val="superscript"/>
    </w:rPr>
  </w:style>
  <w:style w:type="table" w:styleId="40">
    <w:name w:val="Table Grid"/>
    <w:basedOn w:val="39"/>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character" w:customStyle="1" w:styleId="41">
    <w:name w:val="标题 1 字符"/>
    <w:basedOn w:val="29"/>
    <w:link w:val="2"/>
    <w:qFormat/>
    <w:uiPriority w:val="0"/>
    <w:rPr>
      <w:rFonts w:eastAsia="黑体"/>
      <w:b/>
      <w:bCs/>
      <w:kern w:val="44"/>
      <w:sz w:val="32"/>
      <w:szCs w:val="32"/>
    </w:rPr>
  </w:style>
  <w:style w:type="character" w:customStyle="1" w:styleId="42">
    <w:name w:val="标题 2 字符"/>
    <w:basedOn w:val="29"/>
    <w:link w:val="3"/>
    <w:qFormat/>
    <w:uiPriority w:val="0"/>
    <w:rPr>
      <w:rFonts w:ascii="Times New Roman" w:hAnsi="Times New Roman" w:eastAsia="黑体"/>
      <w:b/>
      <w:bCs/>
      <w:color w:val="000000"/>
      <w:sz w:val="30"/>
      <w:szCs w:val="30"/>
    </w:rPr>
  </w:style>
  <w:style w:type="character" w:customStyle="1" w:styleId="43">
    <w:name w:val="标题 3 字符"/>
    <w:basedOn w:val="29"/>
    <w:link w:val="4"/>
    <w:qFormat/>
    <w:uiPriority w:val="0"/>
    <w:rPr>
      <w:rFonts w:eastAsia="宋体"/>
      <w:b/>
      <w:color w:val="000000"/>
      <w:kern w:val="2"/>
      <w:sz w:val="28"/>
      <w:szCs w:val="28"/>
    </w:rPr>
  </w:style>
  <w:style w:type="character" w:customStyle="1" w:styleId="44">
    <w:name w:val="标题 4 字符"/>
    <w:basedOn w:val="29"/>
    <w:link w:val="5"/>
    <w:qFormat/>
    <w:uiPriority w:val="9"/>
    <w:rPr>
      <w:rFonts w:asciiTheme="majorHAnsi" w:hAnsiTheme="majorHAnsi" w:eastAsiaTheme="majorEastAsia" w:cstheme="majorBidi"/>
      <w:b/>
      <w:bCs/>
      <w:color w:val="000000"/>
      <w:kern w:val="2"/>
      <w:sz w:val="28"/>
      <w:szCs w:val="28"/>
    </w:rPr>
  </w:style>
  <w:style w:type="character" w:customStyle="1" w:styleId="45">
    <w:name w:val="题注 字符"/>
    <w:link w:val="10"/>
    <w:qFormat/>
    <w:uiPriority w:val="35"/>
    <w:rPr>
      <w:rFonts w:ascii="Arial" w:hAnsi="Arial" w:eastAsia="黑体"/>
      <w:sz w:val="20"/>
    </w:rPr>
  </w:style>
  <w:style w:type="character" w:customStyle="1" w:styleId="46">
    <w:name w:val="页脚 字符"/>
    <w:basedOn w:val="29"/>
    <w:link w:val="19"/>
    <w:qFormat/>
    <w:uiPriority w:val="99"/>
    <w:rPr>
      <w:rFonts w:ascii="Calibri" w:hAnsi="Calibri" w:eastAsia="宋体" w:cs="黑体"/>
      <w:sz w:val="18"/>
      <w:szCs w:val="18"/>
    </w:rPr>
  </w:style>
  <w:style w:type="character" w:customStyle="1" w:styleId="47">
    <w:name w:val="页眉 字符"/>
    <w:basedOn w:val="29"/>
    <w:link w:val="20"/>
    <w:qFormat/>
    <w:uiPriority w:val="0"/>
    <w:rPr>
      <w:rFonts w:ascii="Calibri" w:hAnsi="Calibri" w:eastAsia="宋体" w:cs="黑体"/>
      <w:sz w:val="18"/>
    </w:rPr>
  </w:style>
  <w:style w:type="character" w:customStyle="1" w:styleId="48">
    <w:name w:val="脚注文本 字符"/>
    <w:basedOn w:val="29"/>
    <w:link w:val="23"/>
    <w:qFormat/>
    <w:uiPriority w:val="0"/>
    <w:rPr>
      <w:rFonts w:ascii="Calibri" w:hAnsi="Calibri" w:eastAsia="宋体" w:cs="Times New Roman"/>
      <w:sz w:val="18"/>
      <w:szCs w:val="18"/>
    </w:rPr>
  </w:style>
  <w:style w:type="paragraph" w:customStyle="1" w:styleId="49">
    <w:name w:val="正文2"/>
    <w:basedOn w:val="1"/>
    <w:link w:val="50"/>
    <w:qFormat/>
    <w:uiPriority w:val="0"/>
    <w:pPr>
      <w:ind w:firstLine="549" w:firstLineChars="196"/>
    </w:pPr>
  </w:style>
  <w:style w:type="character" w:customStyle="1" w:styleId="50">
    <w:name w:val="正文2 Char"/>
    <w:basedOn w:val="29"/>
    <w:link w:val="49"/>
    <w:qFormat/>
    <w:uiPriority w:val="0"/>
    <w:rPr>
      <w:rFonts w:eastAsia="仿宋_GB2312"/>
      <w:color w:val="000000"/>
      <w:kern w:val="2"/>
      <w:sz w:val="28"/>
      <w:szCs w:val="28"/>
    </w:rPr>
  </w:style>
  <w:style w:type="paragraph" w:customStyle="1" w:styleId="51">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52">
    <w:name w:val="本文正文"/>
    <w:basedOn w:val="1"/>
    <w:qFormat/>
    <w:uiPriority w:val="0"/>
    <w:pPr>
      <w:spacing w:line="480" w:lineRule="exact"/>
      <w:ind w:firstLine="480"/>
    </w:pPr>
    <w:rPr>
      <w:rFonts w:ascii="宋体" w:hAnsi="宋体"/>
      <w:color w:val="auto"/>
      <w:kern w:val="0"/>
      <w:sz w:val="24"/>
      <w:szCs w:val="24"/>
    </w:rPr>
  </w:style>
  <w:style w:type="character" w:customStyle="1" w:styleId="53">
    <w:name w:val="批注框文本 字符"/>
    <w:basedOn w:val="29"/>
    <w:link w:val="18"/>
    <w:semiHidden/>
    <w:qFormat/>
    <w:uiPriority w:val="0"/>
    <w:rPr>
      <w:rFonts w:eastAsia="仿宋_GB2312"/>
      <w:color w:val="000000"/>
      <w:kern w:val="2"/>
      <w:sz w:val="18"/>
      <w:szCs w:val="18"/>
    </w:rPr>
  </w:style>
  <w:style w:type="character" w:customStyle="1" w:styleId="54">
    <w:name w:val="批注文字 字符"/>
    <w:basedOn w:val="29"/>
    <w:link w:val="8"/>
    <w:qFormat/>
    <w:uiPriority w:val="0"/>
    <w:rPr>
      <w:rFonts w:eastAsia="仿宋_GB2312"/>
      <w:color w:val="000000"/>
      <w:kern w:val="2"/>
      <w:sz w:val="28"/>
      <w:szCs w:val="28"/>
    </w:rPr>
  </w:style>
  <w:style w:type="character" w:customStyle="1" w:styleId="55">
    <w:name w:val="批注主题 字符"/>
    <w:basedOn w:val="54"/>
    <w:link w:val="7"/>
    <w:semiHidden/>
    <w:qFormat/>
    <w:uiPriority w:val="0"/>
    <w:rPr>
      <w:rFonts w:eastAsia="仿宋_GB2312"/>
      <w:b/>
      <w:bCs/>
      <w:color w:val="000000"/>
      <w:kern w:val="2"/>
      <w:sz w:val="28"/>
      <w:szCs w:val="28"/>
    </w:rPr>
  </w:style>
  <w:style w:type="paragraph" w:customStyle="1" w:styleId="56">
    <w:name w:val="引用上标"/>
    <w:basedOn w:val="1"/>
    <w:link w:val="57"/>
    <w:qFormat/>
    <w:uiPriority w:val="0"/>
    <w:rPr>
      <w:color w:val="auto"/>
      <w:kern w:val="0"/>
      <w:vertAlign w:val="superscript"/>
    </w:rPr>
  </w:style>
  <w:style w:type="character" w:customStyle="1" w:styleId="57">
    <w:name w:val="引用上标 字符"/>
    <w:basedOn w:val="29"/>
    <w:link w:val="56"/>
    <w:qFormat/>
    <w:uiPriority w:val="0"/>
    <w:rPr>
      <w:rFonts w:eastAsia="仿宋_GB2312"/>
      <w:sz w:val="28"/>
      <w:szCs w:val="28"/>
      <w:vertAlign w:val="superscript"/>
    </w:rPr>
  </w:style>
  <w:style w:type="paragraph" w:customStyle="1" w:styleId="58">
    <w:name w:val="列表段落1"/>
    <w:basedOn w:val="1"/>
    <w:qFormat/>
    <w:uiPriority w:val="99"/>
    <w:pPr>
      <w:ind w:firstLine="420"/>
    </w:pPr>
  </w:style>
  <w:style w:type="character" w:customStyle="1" w:styleId="59">
    <w:name w:val="percentage"/>
    <w:basedOn w:val="29"/>
    <w:qFormat/>
    <w:uiPriority w:val="0"/>
    <w:rPr>
      <w:color w:val="6991F9"/>
      <w:sz w:val="27"/>
      <w:szCs w:val="27"/>
    </w:rPr>
  </w:style>
  <w:style w:type="character" w:customStyle="1" w:styleId="60">
    <w:name w:val="satisfactiontext"/>
    <w:basedOn w:val="29"/>
    <w:qFormat/>
    <w:uiPriority w:val="0"/>
    <w:rPr>
      <w:sz w:val="24"/>
      <w:szCs w:val="24"/>
    </w:rPr>
  </w:style>
  <w:style w:type="character" w:customStyle="1" w:styleId="61">
    <w:name w:val="satisfactionbar"/>
    <w:basedOn w:val="29"/>
    <w:qFormat/>
    <w:uiPriority w:val="0"/>
    <w:rPr>
      <w:shd w:val="clear" w:color="auto" w:fill="E3E3E3"/>
    </w:rPr>
  </w:style>
  <w:style w:type="character" w:customStyle="1" w:styleId="62">
    <w:name w:val="未处理的提及1"/>
    <w:basedOn w:val="29"/>
    <w:unhideWhenUsed/>
    <w:qFormat/>
    <w:uiPriority w:val="99"/>
    <w:rPr>
      <w:color w:val="605E5C"/>
      <w:shd w:val="clear" w:color="auto" w:fill="E1DFDD"/>
    </w:rPr>
  </w:style>
  <w:style w:type="character" w:customStyle="1" w:styleId="63">
    <w:name w:val="font31"/>
    <w:basedOn w:val="29"/>
    <w:qFormat/>
    <w:uiPriority w:val="0"/>
    <w:rPr>
      <w:rFonts w:hint="eastAsia" w:ascii="等线" w:hAnsi="等线" w:eastAsia="等线" w:cs="等线"/>
      <w:color w:val="000000"/>
      <w:sz w:val="24"/>
      <w:szCs w:val="24"/>
      <w:u w:val="none"/>
    </w:rPr>
  </w:style>
  <w:style w:type="character" w:customStyle="1" w:styleId="64">
    <w:name w:val="font11"/>
    <w:basedOn w:val="29"/>
    <w:qFormat/>
    <w:uiPriority w:val="0"/>
    <w:rPr>
      <w:rFonts w:hint="eastAsia" w:ascii="等线" w:hAnsi="等线" w:eastAsia="等线" w:cs="等线"/>
      <w:color w:val="FF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3.png"/><Relationship Id="rId16" Type="http://schemas.openxmlformats.org/officeDocument/2006/relationships/chart" Target="charts/chart2.xml"/><Relationship Id="rId15" Type="http://schemas.openxmlformats.org/officeDocument/2006/relationships/chart" Target="charts/chart1.xml"/><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E:\&#27792;&#22925;&#22920;&#22920;\00&#39033;&#30446;2020\04&#19977;&#20122;&#20027;&#22478;&#21306;&#21306;&#22495;&#33410;&#33021;&#35780;&#20272;\05&#24037;&#20316;&#25104;&#26524;\&#32479;&#35745;&#25968;&#25454;20200410.xls"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E:\&#27792;&#22925;&#22920;&#22920;\00&#39033;&#30446;2020\04&#19977;&#20122;&#20027;&#22478;&#21306;&#21306;&#22495;&#33410;&#33021;&#35780;&#20272;\05&#24037;&#20316;&#25104;&#26524;\&#32479;&#35745;&#25968;&#25454;2020041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[统计数据20200410.xls]Sheet5!$R$1</c:f>
              <c:strCache>
                <c:ptCount val="1"/>
                <c:pt idx="0">
                  <c:v>新增建筑面积（万m2）</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[统计数据20200410.xls]Sheet5!$Q$2:$Q$12</c:f>
              <c:strCache>
                <c:ptCount val="11"/>
                <c:pt idx="1">
                  <c:v>2011年</c:v>
                </c:pt>
                <c:pt idx="2">
                  <c:v>2012年</c:v>
                </c:pt>
                <c:pt idx="3">
                  <c:v>2013年</c:v>
                </c:pt>
                <c:pt idx="4">
                  <c:v>2014年</c:v>
                </c:pt>
                <c:pt idx="5">
                  <c:v>2015年</c:v>
                </c:pt>
                <c:pt idx="6">
                  <c:v>2016年</c:v>
                </c:pt>
                <c:pt idx="7">
                  <c:v>2017年</c:v>
                </c:pt>
                <c:pt idx="8">
                  <c:v>2018年</c:v>
                </c:pt>
                <c:pt idx="9">
                  <c:v>2019年</c:v>
                </c:pt>
                <c:pt idx="10">
                  <c:v>2020年</c:v>
                </c:pt>
              </c:strCache>
            </c:strRef>
          </c:cat>
          <c:val>
            <c:numRef>
              <c:f>[统计数据20200410.xls]Sheet5!$R$2:$R$12</c:f>
              <c:numCache>
                <c:formatCode>General</c:formatCode>
                <c:ptCount val="11"/>
                <c:pt idx="1" c:formatCode="General">
                  <c:v>86.85</c:v>
                </c:pt>
                <c:pt idx="2" c:formatCode="General">
                  <c:v>161.73</c:v>
                </c:pt>
                <c:pt idx="3" c:formatCode="General">
                  <c:v>50.28</c:v>
                </c:pt>
                <c:pt idx="4" c:formatCode="General">
                  <c:v>318.08</c:v>
                </c:pt>
                <c:pt idx="5" c:formatCode="General">
                  <c:v>190.3</c:v>
                </c:pt>
                <c:pt idx="6" c:formatCode="General">
                  <c:v>235</c:v>
                </c:pt>
                <c:pt idx="7" c:formatCode="General">
                  <c:v>117.71</c:v>
                </c:pt>
                <c:pt idx="8" c:formatCode="General">
                  <c:v>201.74</c:v>
                </c:pt>
                <c:pt idx="9" c:formatCode="General">
                  <c:v>141.18</c:v>
                </c:pt>
                <c:pt idx="10" c:formatCode="General">
                  <c:v>88.52</c:v>
                </c:pt>
              </c:numCache>
            </c:numRef>
          </c:val>
        </c:ser>
        <c:dLbls>
          <c:showLegendKey val="0"/>
          <c:showVal val="1"/>
          <c:showCatName val="0"/>
          <c:showSerName val="0"/>
          <c:showPercent val="0"/>
          <c:showBubbleSize val="0"/>
        </c:dLbls>
        <c:gapWidth val="219"/>
        <c:overlap val="-27"/>
        <c:axId val="599521479"/>
        <c:axId val="483602018"/>
      </c:barChart>
      <c:catAx>
        <c:axId val="599521479"/>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83602018"/>
        <c:crosses val="autoZero"/>
        <c:auto val="1"/>
        <c:lblAlgn val="ctr"/>
        <c:lblOffset val="100"/>
        <c:noMultiLvlLbl val="0"/>
      </c:catAx>
      <c:valAx>
        <c:axId val="48360201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zh-CN" altLang="en-US"/>
                  <a:t>新增建筑面积</a:t>
                </a:r>
                <a:endParaRPr lang="zh-CN" alt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9952147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[统计数据20200410.xls]Sheet5!$B$1</c:f>
              <c:strCache>
                <c:ptCount val="1"/>
                <c:pt idx="0">
                  <c:v>固定资产投资额（亿元）</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strRef>
              <c:f>[统计数据20200410.xls]Sheet5!$A$2:$A$12</c:f>
              <c:strCache>
                <c:ptCount val="11"/>
                <c:pt idx="1">
                  <c:v>2011年</c:v>
                </c:pt>
                <c:pt idx="2">
                  <c:v>2012年</c:v>
                </c:pt>
                <c:pt idx="3">
                  <c:v>2013年</c:v>
                </c:pt>
                <c:pt idx="4">
                  <c:v>2014年</c:v>
                </c:pt>
                <c:pt idx="5">
                  <c:v>2015年</c:v>
                </c:pt>
                <c:pt idx="6">
                  <c:v>2016年</c:v>
                </c:pt>
                <c:pt idx="7">
                  <c:v>2017年</c:v>
                </c:pt>
                <c:pt idx="8">
                  <c:v>2018年</c:v>
                </c:pt>
                <c:pt idx="9">
                  <c:v>2019年</c:v>
                </c:pt>
                <c:pt idx="10">
                  <c:v>2020年</c:v>
                </c:pt>
              </c:strCache>
            </c:strRef>
          </c:cat>
          <c:val>
            <c:numRef>
              <c:f>[统计数据20200410.xls]Sheet5!$B$2:$B$12</c:f>
              <c:numCache>
                <c:formatCode>General</c:formatCode>
                <c:ptCount val="11"/>
                <c:pt idx="1" c:formatCode="General">
                  <c:v>358.3</c:v>
                </c:pt>
                <c:pt idx="2" c:formatCode="General">
                  <c:v>430.34</c:v>
                </c:pt>
                <c:pt idx="3" c:formatCode="General">
                  <c:v>523.29</c:v>
                </c:pt>
                <c:pt idx="4" c:formatCode="General">
                  <c:v>629.56</c:v>
                </c:pt>
                <c:pt idx="5" c:formatCode="General">
                  <c:v>705.97</c:v>
                </c:pt>
                <c:pt idx="6" c:formatCode="General">
                  <c:v>783.1</c:v>
                </c:pt>
                <c:pt idx="7" c:formatCode="General">
                  <c:v>868.09</c:v>
                </c:pt>
                <c:pt idx="8" c:formatCode="General">
                  <c:v>756.11</c:v>
                </c:pt>
                <c:pt idx="9" c:formatCode="General">
                  <c:v>694.86</c:v>
                </c:pt>
                <c:pt idx="10" c:formatCode="General">
                  <c:v>1031.22</c:v>
                </c:pt>
              </c:numCache>
            </c:numRef>
          </c:val>
          <c:smooth val="0"/>
        </c:ser>
        <c:ser>
          <c:idx val="1"/>
          <c:order val="1"/>
          <c:tx>
            <c:strRef>
              <c:f>[统计数据20200410.xls]Sheet5!$C$1</c:f>
              <c:strCache>
                <c:ptCount val="1"/>
                <c:pt idx="0">
                  <c:v>其中房地产开发投资（亿元）</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[统计数据20200410.xls]Sheet5!$A$2:$A$12</c:f>
              <c:strCache>
                <c:ptCount val="11"/>
                <c:pt idx="1">
                  <c:v>2011年</c:v>
                </c:pt>
                <c:pt idx="2">
                  <c:v>2012年</c:v>
                </c:pt>
                <c:pt idx="3">
                  <c:v>2013年</c:v>
                </c:pt>
                <c:pt idx="4">
                  <c:v>2014年</c:v>
                </c:pt>
                <c:pt idx="5">
                  <c:v>2015年</c:v>
                </c:pt>
                <c:pt idx="6">
                  <c:v>2016年</c:v>
                </c:pt>
                <c:pt idx="7">
                  <c:v>2017年</c:v>
                </c:pt>
                <c:pt idx="8">
                  <c:v>2018年</c:v>
                </c:pt>
                <c:pt idx="9">
                  <c:v>2019年</c:v>
                </c:pt>
                <c:pt idx="10">
                  <c:v>2020年</c:v>
                </c:pt>
              </c:strCache>
            </c:strRef>
          </c:cat>
          <c:val>
            <c:numRef>
              <c:f>[统计数据20200410.xls]Sheet5!$C$2:$C$12</c:f>
              <c:numCache>
                <c:formatCode>General</c:formatCode>
                <c:ptCount val="11"/>
                <c:pt idx="1" c:formatCode="General">
                  <c:v>178.84</c:v>
                </c:pt>
                <c:pt idx="2" c:formatCode="General">
                  <c:v>238.45</c:v>
                </c:pt>
                <c:pt idx="3" c:formatCode="General">
                  <c:v>302.72</c:v>
                </c:pt>
                <c:pt idx="4" c:formatCode="General">
                  <c:v>380.02</c:v>
                </c:pt>
                <c:pt idx="5" c:formatCode="General">
                  <c:v>466.65</c:v>
                </c:pt>
                <c:pt idx="6" c:formatCode="General">
                  <c:v>410.04</c:v>
                </c:pt>
                <c:pt idx="7" c:formatCode="General">
                  <c:v>549.76</c:v>
                </c:pt>
                <c:pt idx="8" c:formatCode="General">
                  <c:v>402.97</c:v>
                </c:pt>
                <c:pt idx="9" c:formatCode="General">
                  <c:v>299.81</c:v>
                </c:pt>
                <c:pt idx="10" c:formatCode="General">
                  <c:v>688.08</c:v>
                </c:pt>
              </c:numCache>
            </c:numRef>
          </c:val>
          <c:smooth val="0"/>
        </c:ser>
        <c:ser>
          <c:idx val="2"/>
          <c:order val="2"/>
          <c:tx>
            <c:strRef>
              <c:f>[统计数据20200410.xls]Sheet5!$D$1</c:f>
              <c:strCache>
                <c:ptCount val="1"/>
                <c:pt idx="0">
                  <c:v>新增建筑面积（万m2）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strRef>
              <c:f>[统计数据20200410.xls]Sheet5!$A$2:$A$12</c:f>
              <c:strCache>
                <c:ptCount val="11"/>
                <c:pt idx="1">
                  <c:v>2011年</c:v>
                </c:pt>
                <c:pt idx="2">
                  <c:v>2012年</c:v>
                </c:pt>
                <c:pt idx="3">
                  <c:v>2013年</c:v>
                </c:pt>
                <c:pt idx="4">
                  <c:v>2014年</c:v>
                </c:pt>
                <c:pt idx="5">
                  <c:v>2015年</c:v>
                </c:pt>
                <c:pt idx="6">
                  <c:v>2016年</c:v>
                </c:pt>
                <c:pt idx="7">
                  <c:v>2017年</c:v>
                </c:pt>
                <c:pt idx="8">
                  <c:v>2018年</c:v>
                </c:pt>
                <c:pt idx="9">
                  <c:v>2019年</c:v>
                </c:pt>
                <c:pt idx="10">
                  <c:v>2020年</c:v>
                </c:pt>
              </c:strCache>
            </c:strRef>
          </c:cat>
          <c:val>
            <c:numRef>
              <c:f>[统计数据20200410.xls]Sheet5!$D$2:$D$12</c:f>
              <c:numCache>
                <c:formatCode>General</c:formatCode>
                <c:ptCount val="11"/>
                <c:pt idx="1" c:formatCode="General">
                  <c:v>86.85</c:v>
                </c:pt>
                <c:pt idx="2" c:formatCode="General">
                  <c:v>161.73</c:v>
                </c:pt>
                <c:pt idx="3" c:formatCode="General">
                  <c:v>50.28</c:v>
                </c:pt>
                <c:pt idx="4" c:formatCode="General">
                  <c:v>318.08</c:v>
                </c:pt>
                <c:pt idx="5" c:formatCode="General">
                  <c:v>190.3</c:v>
                </c:pt>
                <c:pt idx="6" c:formatCode="General">
                  <c:v>235</c:v>
                </c:pt>
                <c:pt idx="7" c:formatCode="General">
                  <c:v>117.71</c:v>
                </c:pt>
                <c:pt idx="8" c:formatCode="General">
                  <c:v>201.74</c:v>
                </c:pt>
                <c:pt idx="9" c:formatCode="General">
                  <c:v>141.18</c:v>
                </c:pt>
                <c:pt idx="10" c:formatCode="General">
                  <c:v>88.52</c:v>
                </c:pt>
              </c:numCache>
            </c:numRef>
          </c:val>
          <c:smooth val="0"/>
        </c:ser>
        <c:dLbls>
          <c:showLegendKey val="0"/>
          <c:showVal val="0"/>
          <c:showCatName val="0"/>
          <c:showSerName val="0"/>
          <c:showPercent val="0"/>
          <c:showBubbleSize val="0"/>
        </c:dLbls>
        <c:marker val="1"/>
        <c:smooth val="0"/>
        <c:axId val="281726158"/>
        <c:axId val="47355120"/>
      </c:lineChart>
      <c:catAx>
        <c:axId val="28172615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7355120"/>
        <c:crosses val="autoZero"/>
        <c:auto val="1"/>
        <c:lblAlgn val="ctr"/>
        <c:lblOffset val="100"/>
        <c:noMultiLvlLbl val="0"/>
      </c:catAx>
      <c:valAx>
        <c:axId val="47355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81726158"/>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F75E9EC-2089-42A1-AC90-4E41069ACB3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87</Pages>
  <Words>39230</Words>
  <Characters>43424</Characters>
  <Lines>359</Lines>
  <Paragraphs>101</Paragraphs>
  <ScaleCrop>false</ScaleCrop>
  <LinksUpToDate>false</LinksUpToDate>
  <CharactersWithSpaces>47532</CharactersWithSpaces>
  <Application>WPS Office_10.8.0.5761_F1E327BC-269C-435d-A152-05C5408002CA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2021-03-21T07:59:00Z</dcterms:created>
  <dc:creator>lenovo</dc:creator>
  <cp:lastModifiedBy>黄浩浩</cp:lastModifiedBy>
  <cp:lastPrinted>2021-01-14T03:20:00Z</cp:lastPrinted>
  <dcterms:modified xsi:type="dcterms:W3CDTF">2022-03-10T08:59:38Z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2052-10.8.0.5761</vt:lpwstr>
  </property>
  <property fmtid="{D5CDD505-2E9C-101B-9397-08002B2CF9AE}" pid="3" name="ICV">
    <vt:lpwstr>659722C3607A43279952A8D8851C7AA1</vt:lpwstr>
  </property>
</Properties>
</file>